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D343" w14:textId="34C84455" w:rsidR="00F90102" w:rsidRPr="00F90102" w:rsidRDefault="00F90102" w:rsidP="00F90102">
      <w:r w:rsidRPr="00F90102">
        <w:t>2.1:  Hi. I’m Paul Limburg, the Chief Medical Officer, for Screening at Exact Sciences.</w:t>
      </w:r>
    </w:p>
    <w:p w14:paraId="2D137F7E" w14:textId="77777777" w:rsidR="00F90102" w:rsidRPr="00F90102" w:rsidRDefault="00F90102" w:rsidP="00F90102">
      <w:r w:rsidRPr="00F90102">
        <w:t>2.2:  I’m a board-certified gastroenterologist with over 20 years of experience in clinical practice.  I also received training in preventive oncology, and have research interests in cancer screening, chemoprevention, and epidemiology.</w:t>
      </w:r>
    </w:p>
    <w:p w14:paraId="600EC98E" w14:textId="5D75A84E" w:rsidR="00F90102" w:rsidRPr="00F90102" w:rsidRDefault="00F90102" w:rsidP="00F90102">
      <w:r w:rsidRPr="00F90102">
        <w:t>2.3:  I have a particular passion for colorectal cancer screening, and I’m proud to serve Exact Sciences, providers, and patients by leading our medical affairs screening endeavors</w:t>
      </w:r>
      <w:r w:rsidR="00D235C1">
        <w:t>.</w:t>
      </w:r>
    </w:p>
    <w:p w14:paraId="6D0812BE" w14:textId="50C8FCD2" w:rsidR="00F90102" w:rsidRPr="00F90102" w:rsidRDefault="00F90102" w:rsidP="00F90102">
      <w:r w:rsidRPr="00F90102">
        <w:t>2.4: It’s unnerving to know that, with proper screening, colorectal cancer is preventable</w:t>
      </w:r>
      <w:r w:rsidR="00AD667E" w:rsidRPr="006A4FF6">
        <w:rPr>
          <w:rStyle w:val="FootnoteReference"/>
        </w:rPr>
        <w:footnoteReference w:id="1"/>
      </w:r>
      <w:r w:rsidRPr="00F90102">
        <w:t xml:space="preserve"> , yet millions of adult Americans are not being screened as recommended. </w:t>
      </w:r>
      <w:r w:rsidR="00AD667E" w:rsidRPr="006A4FF6">
        <w:rPr>
          <w:rStyle w:val="FootnoteReference"/>
        </w:rPr>
        <w:footnoteReference w:id="2"/>
      </w:r>
      <w:r w:rsidRPr="00F90102">
        <w:rPr>
          <w:vertAlign w:val="superscript"/>
        </w:rPr>
        <w:t xml:space="preserve">*† </w:t>
      </w:r>
      <w:r w:rsidRPr="00F90102">
        <w:t>As a result, colorectal cancer has remained the second leading cancer killer in the U.S.</w:t>
      </w:r>
      <w:r w:rsidR="00AD667E" w:rsidRPr="006A4FF6">
        <w:rPr>
          <w:rStyle w:val="FootnoteReference"/>
        </w:rPr>
        <w:footnoteReference w:id="3"/>
      </w:r>
    </w:p>
    <w:p w14:paraId="3B17B55A" w14:textId="77777777" w:rsidR="00F90102" w:rsidRPr="00F90102" w:rsidRDefault="00F90102" w:rsidP="00F90102">
      <w:r w:rsidRPr="00F90102">
        <w:t>2.5:  I’m in the Exact Sciences Laboratories clinical facility, bearing witness to the enormity of efforts underway at Exact Sciences to screen eligible patients for colorectal cancer.</w:t>
      </w:r>
    </w:p>
    <w:p w14:paraId="17951F8E" w14:textId="30CD1BAC" w:rsidR="00F90102" w:rsidRPr="006A4FF6" w:rsidRDefault="00F90102" w:rsidP="00F90102">
      <w:r w:rsidRPr="00F90102">
        <w:t>2.6:  Recently, there was a recommendation update published by the U</w:t>
      </w:r>
      <w:r w:rsidR="00D235C1">
        <w:t>.</w:t>
      </w:r>
      <w:r w:rsidRPr="00F90102">
        <w:t>S</w:t>
      </w:r>
      <w:r w:rsidR="00D235C1">
        <w:t>.</w:t>
      </w:r>
      <w:r w:rsidRPr="00F90102">
        <w:t xml:space="preserve"> Preventive Services Task Force regarding colorectal cancer screening. As with previous recommendations from this group, multiple </w:t>
      </w:r>
      <w:r w:rsidR="00812456">
        <w:t xml:space="preserve">colorectal cancer </w:t>
      </w:r>
      <w:r w:rsidRPr="00F90102">
        <w:t xml:space="preserve">screening strategies are included, including </w:t>
      </w:r>
      <w:r w:rsidR="00D235C1">
        <w:t>c</w:t>
      </w:r>
      <w:r w:rsidRPr="00F90102">
        <w:t>olonoscopy, CT colonography, flexible sigmoidoscopy, FIT/</w:t>
      </w:r>
      <w:proofErr w:type="spellStart"/>
      <w:r w:rsidRPr="00F90102">
        <w:t>HSgFOBT</w:t>
      </w:r>
      <w:proofErr w:type="spellEnd"/>
      <w:r w:rsidRPr="00F90102">
        <w:t xml:space="preserve">, and </w:t>
      </w:r>
      <w:proofErr w:type="spellStart"/>
      <w:r w:rsidRPr="00F90102">
        <w:t>sDNA</w:t>
      </w:r>
      <w:proofErr w:type="spellEnd"/>
      <w:r w:rsidRPr="00F90102">
        <w:t>-FIT</w:t>
      </w:r>
      <w:r w:rsidR="00AD667E" w:rsidRPr="006A4FF6">
        <w:rPr>
          <w:rStyle w:val="FootnoteReference"/>
        </w:rPr>
        <w:footnoteReference w:id="4"/>
      </w:r>
      <w:r w:rsidRPr="00F90102">
        <w:t>, also known commercially as Cologuard®.</w:t>
      </w:r>
    </w:p>
    <w:p w14:paraId="2AF27C0A" w14:textId="77777777" w:rsidR="00F90102" w:rsidRPr="00F90102" w:rsidRDefault="00F90102" w:rsidP="00F90102">
      <w:r w:rsidRPr="00F90102">
        <w:t>3.1: Before I go into the details of how the USPSTF recommendation has changed, it’s important to understand a bit of background on the Task Force.</w:t>
      </w:r>
    </w:p>
    <w:p w14:paraId="3E5B6C7F" w14:textId="43F255EC" w:rsidR="00F90102" w:rsidRDefault="00F90102" w:rsidP="00F90102">
      <w:r w:rsidRPr="00F90102">
        <w:t xml:space="preserve">3.2: The U.S. Preventive Services Task Force, or USPSTF, is an independent, volunteer panel of 16 national experts recognized in prevention, evidence-based medicine, and primary care. They are appointed by the Director of </w:t>
      </w:r>
      <w:r w:rsidR="00D235C1">
        <w:t xml:space="preserve">the </w:t>
      </w:r>
      <w:r w:rsidRPr="00F90102">
        <w:t>Agency for Healthcare Research and Quality (AHRQ) and serve 4-year terms.</w:t>
      </w:r>
      <w:r w:rsidR="00AD667E" w:rsidRPr="006A4FF6">
        <w:rPr>
          <w:rStyle w:val="FootnoteReference"/>
        </w:rPr>
        <w:footnoteReference w:id="5"/>
      </w:r>
    </w:p>
    <w:p w14:paraId="3DEC32F2" w14:textId="296B4A74" w:rsidR="006A4FF6" w:rsidRDefault="006A4FF6" w:rsidP="00F90102"/>
    <w:p w14:paraId="14140422" w14:textId="77777777" w:rsidR="006A4FF6" w:rsidRPr="00F90102" w:rsidRDefault="006A4FF6" w:rsidP="00F90102"/>
    <w:p w14:paraId="014D80EC" w14:textId="42D724F0" w:rsidR="00AD667E" w:rsidRPr="00F90102" w:rsidRDefault="00F90102" w:rsidP="00F90102">
      <w:pPr>
        <w:rPr>
          <w:vertAlign w:val="superscript"/>
        </w:rPr>
      </w:pPr>
      <w:r w:rsidRPr="00F90102">
        <w:lastRenderedPageBreak/>
        <w:t>3.3:  According to the U</w:t>
      </w:r>
      <w:r w:rsidR="008A1BF1">
        <w:t>.</w:t>
      </w:r>
      <w:r w:rsidRPr="00F90102">
        <w:t>S</w:t>
      </w:r>
      <w:r w:rsidR="008A1BF1">
        <w:t>.</w:t>
      </w:r>
      <w:r w:rsidRPr="00F90102">
        <w:t xml:space="preserve"> Preventive Services website, the Task Force works to improve the health of all Americans by making evidence-based recommendations about clinical preventive services.</w:t>
      </w:r>
      <w:r w:rsidR="00C0382E">
        <w:rPr>
          <w:rStyle w:val="FootnoteReference"/>
        </w:rPr>
        <w:footnoteReference w:id="6"/>
      </w:r>
      <w:r w:rsidRPr="00F90102">
        <w:t xml:space="preserve"> They provide recommendations on preventive services including counseling, preventive medication, and screening, which aims to update topics every 5 years unless major new evidence warrants a faster cycle</w:t>
      </w:r>
      <w:r w:rsidR="00E31B29">
        <w:t>.</w:t>
      </w:r>
      <w:r w:rsidR="00C0382E" w:rsidRPr="00CE6416">
        <w:rPr>
          <w:vertAlign w:val="superscript"/>
        </w:rPr>
        <w:t>6</w:t>
      </w:r>
    </w:p>
    <w:p w14:paraId="228B88C3" w14:textId="16D8F08F" w:rsidR="006A4FF6" w:rsidRPr="006A4FF6" w:rsidRDefault="006A4FF6" w:rsidP="006A4FF6">
      <w:r w:rsidRPr="006A4FF6">
        <w:t xml:space="preserve">3.4:  When making a preventive service recommendation, the USPSTF assigns a letter grade (an A, B, C, or D grade or </w:t>
      </w:r>
      <w:proofErr w:type="gramStart"/>
      <w:r w:rsidRPr="006A4FF6">
        <w:t>an</w:t>
      </w:r>
      <w:proofErr w:type="gramEnd"/>
      <w:r w:rsidRPr="006A4FF6">
        <w:t xml:space="preserve"> I statement) based on the quality of the evidence and the balance of benefits and harms of a preventive service offered in the primary care setting or services referred by a primary care clinician.</w:t>
      </w:r>
      <w:r w:rsidRPr="00CE6416">
        <w:rPr>
          <w:rStyle w:val="FootnoteReference"/>
        </w:rPr>
        <w:footnoteReference w:id="7"/>
      </w:r>
      <w:r w:rsidRPr="00CE6416">
        <w:rPr>
          <w:vertAlign w:val="superscript"/>
        </w:rPr>
        <w:t>,</w:t>
      </w:r>
      <w:r w:rsidRPr="00CE6416">
        <w:rPr>
          <w:rStyle w:val="FootnoteReference"/>
        </w:rPr>
        <w:footnoteReference w:id="8"/>
      </w:r>
    </w:p>
    <w:p w14:paraId="5E0A6F83" w14:textId="288181A8" w:rsidR="006A4FF6" w:rsidRPr="006A4FF6" w:rsidRDefault="006A4FF6" w:rsidP="006A4FF6">
      <w:r w:rsidRPr="006A4FF6">
        <w:t>3.5:  While the main audience for Task Force recommendations is the primary care clinician, the recommendations also have relevance for and are widely used by policymakers, managed care organizations, public and private payers, quality improvement organizations, research institutions, and patients.</w:t>
      </w:r>
      <w:r w:rsidRPr="00CE6416">
        <w:rPr>
          <w:vertAlign w:val="superscript"/>
        </w:rPr>
        <w:t>8</w:t>
      </w:r>
      <w:r w:rsidRPr="006A4FF6">
        <w:rPr>
          <w:vertAlign w:val="superscript"/>
        </w:rPr>
        <w:t xml:space="preserve"> </w:t>
      </w:r>
    </w:p>
    <w:p w14:paraId="5164EA27" w14:textId="1B915A32" w:rsidR="006A4FF6" w:rsidRPr="006A4FF6" w:rsidRDefault="006A4FF6" w:rsidP="006A4FF6">
      <w:r w:rsidRPr="006A4FF6">
        <w:t>3.6:  Most private insurance plans are required to cover preventive services that receive a grade of A or B from the Task Force without cost-</w:t>
      </w:r>
      <w:r w:rsidR="00034ADA" w:rsidRPr="006A4FF6">
        <w:t>sharing,</w:t>
      </w:r>
      <w:r w:rsidRPr="006A4FF6">
        <w:t xml:space="preserve"> but coverage and costs are not considered in assigning grades to preventive services. Coverage decisions are determined by payors and policymakers.</w:t>
      </w:r>
      <w:r>
        <w:rPr>
          <w:rStyle w:val="FootnoteReference"/>
        </w:rPr>
        <w:footnoteReference w:id="9"/>
      </w:r>
    </w:p>
    <w:p w14:paraId="2FB23E75" w14:textId="77777777" w:rsidR="006A4FF6" w:rsidRPr="006A4FF6" w:rsidRDefault="006A4FF6" w:rsidP="006A4FF6">
      <w:r w:rsidRPr="006A4FF6">
        <w:t>4.1:  The USPSTF released their final 2021 recommendation statement in May this year. The last update was in 2016.</w:t>
      </w:r>
    </w:p>
    <w:p w14:paraId="6412DE9A" w14:textId="77777777" w:rsidR="006A4FF6" w:rsidRPr="006A4FF6" w:rsidRDefault="006A4FF6" w:rsidP="006A4FF6">
      <w:r w:rsidRPr="006A4FF6">
        <w:t>4.2: Here is what changed…</w:t>
      </w:r>
    </w:p>
    <w:p w14:paraId="476D9BBC" w14:textId="0C5128D3" w:rsidR="006A4FF6" w:rsidRPr="006A4FF6" w:rsidRDefault="006A4FF6" w:rsidP="006A4FF6">
      <w:r w:rsidRPr="006A4FF6">
        <w:t xml:space="preserve">4.3:  The biggest shift is the age to begin screening. The USPSTF recommends that </w:t>
      </w:r>
      <w:r w:rsidR="007719FA">
        <w:t>colorectal cancer</w:t>
      </w:r>
      <w:r w:rsidR="007719FA" w:rsidRPr="00C0382E">
        <w:t xml:space="preserve"> </w:t>
      </w:r>
      <w:r w:rsidRPr="006A4FF6">
        <w:t>screening begin at age 45 for individuals at average risk for developing</w:t>
      </w:r>
      <w:r w:rsidR="007719FA" w:rsidRPr="007719FA">
        <w:t xml:space="preserve"> </w:t>
      </w:r>
      <w:r w:rsidR="007719FA">
        <w:t>colorectal cancer</w:t>
      </w:r>
      <w:r w:rsidR="00723049">
        <w:t>.</w:t>
      </w:r>
      <w:r>
        <w:rPr>
          <w:rStyle w:val="FootnoteReference"/>
        </w:rPr>
        <w:footnoteReference w:id="10"/>
      </w:r>
    </w:p>
    <w:p w14:paraId="13FD91EA" w14:textId="30B86B76" w:rsidR="0000727D" w:rsidRDefault="0000727D"/>
    <w:p w14:paraId="2DFF5D38" w14:textId="38A7EE88" w:rsidR="006A4FF6" w:rsidRDefault="006A4FF6"/>
    <w:p w14:paraId="1D76B24C" w14:textId="6DA2CDBF" w:rsidR="006A4FF6" w:rsidRDefault="006A4FF6"/>
    <w:p w14:paraId="19BC04D0" w14:textId="5D114CBE" w:rsidR="006A4FF6" w:rsidRDefault="006A4FF6"/>
    <w:p w14:paraId="7BBA032A" w14:textId="7C22A73F" w:rsidR="006A4FF6" w:rsidRDefault="006A4FF6"/>
    <w:p w14:paraId="58770443" w14:textId="77777777" w:rsidR="008A24CD" w:rsidRDefault="008A24CD"/>
    <w:p w14:paraId="3D5E54BD" w14:textId="2097E7C4" w:rsidR="006A4FF6" w:rsidRPr="006A4FF6" w:rsidRDefault="006A4FF6" w:rsidP="006A4FF6">
      <w:r w:rsidRPr="00CE6416">
        <w:lastRenderedPageBreak/>
        <w:t xml:space="preserve">4.4:  </w:t>
      </w:r>
      <w:r w:rsidRPr="006A4FF6">
        <w:t xml:space="preserve">This recommendation is a part of a growing trend as other national organizations have made similar recommendations to reduce the age to begin screening in adults at average risk to 45 because </w:t>
      </w:r>
      <w:r w:rsidR="007719FA">
        <w:t xml:space="preserve">colorectal cancer </w:t>
      </w:r>
      <w:r w:rsidRPr="006A4FF6">
        <w:t>incident is increasing in patients younger than 50 and patients are diagnosed with more advanced stages of cancer</w:t>
      </w:r>
      <w:r w:rsidR="00723049">
        <w:t>.</w:t>
      </w:r>
      <w:r w:rsidRPr="00CE6416">
        <w:rPr>
          <w:rStyle w:val="FootnoteReference"/>
        </w:rPr>
        <w:footnoteReference w:id="11"/>
      </w:r>
      <w:r w:rsidRPr="00CE6416">
        <w:rPr>
          <w:vertAlign w:val="superscript"/>
        </w:rPr>
        <w:t>,</w:t>
      </w:r>
      <w:r w:rsidRPr="00CE6416">
        <w:rPr>
          <w:rStyle w:val="FootnoteReference"/>
        </w:rPr>
        <w:footnoteReference w:id="12"/>
      </w:r>
      <w:r w:rsidRPr="00CE6416">
        <w:rPr>
          <w:vertAlign w:val="superscript"/>
        </w:rPr>
        <w:t>,</w:t>
      </w:r>
      <w:r w:rsidRPr="00CE6416">
        <w:rPr>
          <w:rStyle w:val="FootnoteReference"/>
        </w:rPr>
        <w:footnoteReference w:id="13"/>
      </w:r>
    </w:p>
    <w:p w14:paraId="50D4E5B8" w14:textId="03E3C26B" w:rsidR="00325073" w:rsidRPr="00325073" w:rsidRDefault="00325073" w:rsidP="00325073">
      <w:r w:rsidRPr="00325073">
        <w:t xml:space="preserve">4.5:  It is also worth noting that USPSTF recommends multiple </w:t>
      </w:r>
      <w:r w:rsidR="007719FA">
        <w:t>colorectal cancer</w:t>
      </w:r>
      <w:r w:rsidR="007719FA" w:rsidRPr="00C0382E">
        <w:t xml:space="preserve"> </w:t>
      </w:r>
      <w:r w:rsidRPr="00325073">
        <w:t xml:space="preserve">screening tests. They are </w:t>
      </w:r>
      <w:proofErr w:type="spellStart"/>
      <w:r w:rsidRPr="00325073">
        <w:t>untiered</w:t>
      </w:r>
      <w:proofErr w:type="spellEnd"/>
      <w:r w:rsidRPr="00325073">
        <w:t xml:space="preserve"> and stand equitably as options for screening eligible adults</w:t>
      </w:r>
      <w:r w:rsidR="00723049">
        <w:t>.</w:t>
      </w:r>
      <w:r w:rsidRPr="00CE6416">
        <w:rPr>
          <w:rStyle w:val="FootnoteReference"/>
        </w:rPr>
        <w:footnoteReference w:id="14"/>
      </w:r>
    </w:p>
    <w:p w14:paraId="19FAB607" w14:textId="1A8378A6" w:rsidR="00325073" w:rsidRPr="00CE6416" w:rsidRDefault="00325073" w:rsidP="00325073">
      <w:r w:rsidRPr="00325073">
        <w:t xml:space="preserve">4.6:  According to the American Cancer Society Guidelines published in May 2018, there was approximately </w:t>
      </w:r>
      <w:r w:rsidRPr="00CE6416">
        <w:t xml:space="preserve">a 51% increase in </w:t>
      </w:r>
      <w:r w:rsidR="007719FA">
        <w:t>colorectal cancer</w:t>
      </w:r>
      <w:r w:rsidR="007719FA" w:rsidRPr="00C0382E">
        <w:t xml:space="preserve"> </w:t>
      </w:r>
      <w:r w:rsidR="007719FA">
        <w:t>a</w:t>
      </w:r>
      <w:r w:rsidRPr="00CE6416">
        <w:t>mong patients younger than 50 years in a 20-year time period between 1994 and 2014.</w:t>
      </w:r>
      <w:r w:rsidRPr="00CE6416">
        <w:rPr>
          <w:rStyle w:val="FootnoteReference"/>
        </w:rPr>
        <w:footnoteReference w:id="15"/>
      </w:r>
    </w:p>
    <w:p w14:paraId="69D3CC16" w14:textId="1A087C98" w:rsidR="00325073" w:rsidRPr="00325073" w:rsidRDefault="00325073" w:rsidP="00325073">
      <w:r w:rsidRPr="00325073">
        <w:t>4.7:  A separate study showed that among patients younger than 50 years who were diagnosed with colorectal cancer between 2004 and 2015, more than half (51.6%) were diagnosed with more advanced stages of cancer (stage III/IV) vs patients older than 50 years (40%).</w:t>
      </w:r>
      <w:r w:rsidRPr="00CE6416">
        <w:rPr>
          <w:rStyle w:val="FootnoteReference"/>
        </w:rPr>
        <w:footnoteReference w:id="16"/>
      </w:r>
    </w:p>
    <w:p w14:paraId="50343C77" w14:textId="49024B39" w:rsidR="00325073" w:rsidRPr="00325073" w:rsidRDefault="00325073" w:rsidP="00325073">
      <w:r w:rsidRPr="00325073">
        <w:t xml:space="preserve">4.8:  It is well documented that </w:t>
      </w:r>
      <w:r w:rsidR="007719FA">
        <w:t>colorectal cancer</w:t>
      </w:r>
      <w:r w:rsidR="007719FA" w:rsidRPr="00C0382E">
        <w:t xml:space="preserve"> </w:t>
      </w:r>
      <w:r w:rsidRPr="00325073">
        <w:t>survival rates can be impacted by the stage at diagnosis</w:t>
      </w:r>
      <w:r w:rsidR="00723049">
        <w:t>.</w:t>
      </w:r>
      <w:r>
        <w:rPr>
          <w:rStyle w:val="FootnoteReference"/>
        </w:rPr>
        <w:footnoteReference w:id="17"/>
      </w:r>
    </w:p>
    <w:p w14:paraId="78F72AB9" w14:textId="780CA7AA" w:rsidR="00325073" w:rsidRPr="00325073" w:rsidRDefault="00325073" w:rsidP="00325073">
      <w:r w:rsidRPr="00325073">
        <w:t xml:space="preserve">4.9:  The evolution of a benign adenoma to early </w:t>
      </w:r>
      <w:r w:rsidR="007719FA">
        <w:t>colorectal cancer</w:t>
      </w:r>
      <w:r w:rsidR="007719FA" w:rsidRPr="00C0382E">
        <w:t xml:space="preserve"> </w:t>
      </w:r>
      <w:r w:rsidRPr="00325073">
        <w:t>is believed to typically take more than 10 years, which provides an important window of opportunity to find and remove adenomas or to find early-stage</w:t>
      </w:r>
      <w:r w:rsidR="007719FA">
        <w:t xml:space="preserve"> colorectal cancer</w:t>
      </w:r>
      <w:r w:rsidR="00723049">
        <w:t>.</w:t>
      </w:r>
      <w:r>
        <w:rPr>
          <w:rStyle w:val="FootnoteReference"/>
        </w:rPr>
        <w:footnoteReference w:id="18"/>
      </w:r>
    </w:p>
    <w:p w14:paraId="7CF9266F" w14:textId="18891C6C" w:rsidR="00325073" w:rsidRPr="00325073" w:rsidRDefault="00325073" w:rsidP="00325073">
      <w:r w:rsidRPr="00325073">
        <w:t xml:space="preserve">4.11:  Data from the National Cancer Institute’s Surveillance, Epidemiology, and End Results, </w:t>
      </w:r>
      <w:r w:rsidR="008A1BF1">
        <w:t xml:space="preserve">or </w:t>
      </w:r>
      <w:r w:rsidRPr="00325073">
        <w:t>SEER database, show that 5-year relative survival rates change with the stage of diagnosis.</w:t>
      </w:r>
      <w:r>
        <w:rPr>
          <w:rStyle w:val="FootnoteReference"/>
        </w:rPr>
        <w:footnoteReference w:id="19"/>
      </w:r>
    </w:p>
    <w:p w14:paraId="27DC2BA9" w14:textId="77777777" w:rsidR="00325073" w:rsidRPr="00325073" w:rsidRDefault="00325073" w:rsidP="00325073"/>
    <w:p w14:paraId="02DA7769" w14:textId="5F1411DB" w:rsidR="001173A7" w:rsidRPr="001173A7" w:rsidRDefault="001173A7" w:rsidP="001173A7">
      <w:r w:rsidRPr="001173A7">
        <w:lastRenderedPageBreak/>
        <w:t>4.12: Localized colorectal cancer has ~90%</w:t>
      </w:r>
      <w:r w:rsidRPr="001173A7">
        <w:rPr>
          <w:vertAlign w:val="superscript"/>
        </w:rPr>
        <w:t>*</w:t>
      </w:r>
      <w:r w:rsidRPr="001173A7">
        <w:t xml:space="preserve"> 5-year survival rate, while colorectal cancer that has spread to distant parts of the body such as the liver, lungs, or distant lymph nodes has ~14% 5-year survival. </w:t>
      </w:r>
      <w:r w:rsidRPr="00CE6416">
        <w:rPr>
          <w:rStyle w:val="FootnoteReference"/>
        </w:rPr>
        <w:footnoteReference w:id="20"/>
      </w:r>
      <w:r w:rsidRPr="001173A7">
        <w:rPr>
          <w:vertAlign w:val="superscript"/>
        </w:rPr>
        <w:t>,</w:t>
      </w:r>
      <w:r w:rsidRPr="00CE6416">
        <w:rPr>
          <w:rStyle w:val="FootnoteReference"/>
        </w:rPr>
        <w:footnoteReference w:id="21"/>
      </w:r>
      <w:r w:rsidRPr="001173A7">
        <w:rPr>
          <w:vertAlign w:val="superscript"/>
        </w:rPr>
        <w:t>*</w:t>
      </w:r>
    </w:p>
    <w:p w14:paraId="4795DC4A" w14:textId="2F4A8B83" w:rsidR="001173A7" w:rsidRPr="001173A7" w:rsidRDefault="001173A7" w:rsidP="001173A7">
      <w:r w:rsidRPr="001173A7">
        <w:t>4.13:  What’s the take-away here? The USPSTF now</w:t>
      </w:r>
      <w:r w:rsidRPr="001173A7">
        <w:rPr>
          <w:b/>
          <w:bCs/>
        </w:rPr>
        <w:t xml:space="preserve"> </w:t>
      </w:r>
      <w:r w:rsidRPr="001173A7">
        <w:t xml:space="preserve">recommends </w:t>
      </w:r>
      <w:proofErr w:type="gramStart"/>
      <w:r w:rsidRPr="001173A7">
        <w:t>to start</w:t>
      </w:r>
      <w:proofErr w:type="gramEnd"/>
      <w:r w:rsidRPr="001173A7">
        <w:t xml:space="preserve"> screening patients at 45 and older</w:t>
      </w:r>
      <w:r w:rsidR="00723049">
        <w:t>.</w:t>
      </w:r>
      <w:r w:rsidRPr="00CE6416">
        <w:rPr>
          <w:rStyle w:val="FootnoteReference"/>
        </w:rPr>
        <w:footnoteReference w:id="22"/>
      </w:r>
      <w:r w:rsidR="00723049">
        <w:t xml:space="preserve"> </w:t>
      </w:r>
      <w:r w:rsidRPr="001173A7">
        <w:t xml:space="preserve">This is important because </w:t>
      </w:r>
      <w:r w:rsidR="007719FA">
        <w:t>colorectal cancer</w:t>
      </w:r>
      <w:r w:rsidR="007719FA" w:rsidRPr="00C0382E">
        <w:t xml:space="preserve"> </w:t>
      </w:r>
      <w:r w:rsidRPr="001173A7">
        <w:t>incidences is increasing in patients younger than 50</w:t>
      </w:r>
      <w:r w:rsidRPr="00CE6416">
        <w:rPr>
          <w:rStyle w:val="FootnoteReference"/>
        </w:rPr>
        <w:footnoteReference w:id="23"/>
      </w:r>
      <w:r w:rsidRPr="001173A7">
        <w:t xml:space="preserve"> and patients are diagnosed with more advanced stages of cancer</w:t>
      </w:r>
      <w:r w:rsidR="00723049">
        <w:t>.</w:t>
      </w:r>
      <w:r w:rsidRPr="00CE6416">
        <w:rPr>
          <w:rStyle w:val="FootnoteReference"/>
        </w:rPr>
        <w:footnoteReference w:id="24"/>
      </w:r>
    </w:p>
    <w:p w14:paraId="2AFC2504" w14:textId="64F7E359" w:rsidR="001173A7" w:rsidRPr="001173A7" w:rsidRDefault="001173A7" w:rsidP="001173A7">
      <w:r w:rsidRPr="001173A7">
        <w:t xml:space="preserve">5.1:  Despite efforts among public health officials, primary care providers, gastroenterologists, advocacy organizations, and many other allied health professionals to increase awareness about the importance of </w:t>
      </w:r>
      <w:r w:rsidR="007719FA">
        <w:t>colorectal cancer</w:t>
      </w:r>
      <w:r w:rsidR="007719FA" w:rsidRPr="00C0382E">
        <w:t xml:space="preserve"> </w:t>
      </w:r>
      <w:r w:rsidRPr="001173A7">
        <w:t>screening, colorectal cancer remains the second leading cause of cancer mortality in the United States.</w:t>
      </w:r>
      <w:r w:rsidRPr="00CE6416">
        <w:rPr>
          <w:rStyle w:val="FootnoteReference"/>
        </w:rPr>
        <w:footnoteReference w:id="25"/>
      </w:r>
    </w:p>
    <w:p w14:paraId="46CBCC9D" w14:textId="08C08C49" w:rsidR="001173A7" w:rsidRPr="001173A7" w:rsidRDefault="001173A7" w:rsidP="001173A7">
      <w:pPr>
        <w:rPr>
          <w:rFonts w:cstheme="minorHAnsi"/>
          <w:vertAlign w:val="superscript"/>
        </w:rPr>
      </w:pPr>
      <w:r w:rsidRPr="00CE6416">
        <w:t>5.2: Stated differently, A preventable cancer remains the second cause of cancer mortality in our country</w:t>
      </w:r>
      <w:r w:rsidR="006B399D">
        <w:t>.</w:t>
      </w:r>
      <w:r w:rsidR="00034ADA" w:rsidRPr="00034ADA">
        <w:rPr>
          <w:vertAlign w:val="superscript"/>
        </w:rPr>
        <w:t>25</w:t>
      </w:r>
      <w:r w:rsidRPr="00CE6416">
        <w:rPr>
          <w:rFonts w:cstheme="minorHAnsi"/>
          <w:vertAlign w:val="superscript"/>
        </w:rPr>
        <w:t xml:space="preserve">† </w:t>
      </w:r>
      <w:r w:rsidRPr="001173A7">
        <w:t xml:space="preserve">The American Cancer Society estimates that 52,980 people will die from </w:t>
      </w:r>
      <w:r w:rsidR="007719FA">
        <w:t>colorectal cancer</w:t>
      </w:r>
      <w:r w:rsidR="007719FA" w:rsidRPr="00C0382E">
        <w:t xml:space="preserve"> </w:t>
      </w:r>
      <w:r w:rsidRPr="001173A7">
        <w:t>in 2021.</w:t>
      </w:r>
      <w:r w:rsidR="008C1AF5" w:rsidRPr="008C1AF5">
        <w:rPr>
          <w:vertAlign w:val="superscript"/>
        </w:rPr>
        <w:t>25</w:t>
      </w:r>
    </w:p>
    <w:p w14:paraId="5E005F07" w14:textId="27E96C3F" w:rsidR="001173A7" w:rsidRDefault="001173A7"/>
    <w:p w14:paraId="40EA6DC6" w14:textId="7C822A4E" w:rsidR="001173A7" w:rsidRDefault="001173A7"/>
    <w:p w14:paraId="289DE953" w14:textId="4D0CD9B6" w:rsidR="001173A7" w:rsidRDefault="001173A7"/>
    <w:p w14:paraId="0108FCAE" w14:textId="50D23F5B" w:rsidR="001173A7" w:rsidRDefault="001173A7"/>
    <w:p w14:paraId="01CB419D" w14:textId="6708FA18" w:rsidR="008C1AF5" w:rsidRDefault="008C1AF5" w:rsidP="001173A7"/>
    <w:p w14:paraId="5E6F50FF" w14:textId="6F831E26" w:rsidR="00FB1251" w:rsidRDefault="00FB1251" w:rsidP="001173A7"/>
    <w:p w14:paraId="14289E01" w14:textId="77777777" w:rsidR="00FB1251" w:rsidRDefault="00FB1251" w:rsidP="001173A7"/>
    <w:p w14:paraId="1A4997AD" w14:textId="3685DC1A" w:rsidR="001173A7" w:rsidRPr="001173A7" w:rsidRDefault="001173A7" w:rsidP="001173A7">
      <w:r w:rsidRPr="001173A7">
        <w:lastRenderedPageBreak/>
        <w:t>5.3:  We know that screening can make an impact on cancer mortality.</w:t>
      </w:r>
      <w:r w:rsidRPr="008E6116">
        <w:rPr>
          <w:rStyle w:val="FootnoteReference"/>
        </w:rPr>
        <w:footnoteReference w:id="26"/>
      </w:r>
      <w:r w:rsidRPr="001173A7">
        <w:t xml:space="preserve"> Unfortunately, 44 million adults aged 45-74 years at average risk for </w:t>
      </w:r>
      <w:r w:rsidR="007719FA">
        <w:t>colorectal cancer</w:t>
      </w:r>
      <w:r w:rsidR="007719FA" w:rsidRPr="00C0382E">
        <w:t xml:space="preserve"> </w:t>
      </w:r>
      <w:r w:rsidRPr="001173A7">
        <w:t>are eligible but not up to date with current screening recommendations</w:t>
      </w:r>
      <w:r w:rsidR="00AC0151">
        <w:t>.</w:t>
      </w:r>
      <w:r w:rsidRPr="008E6116">
        <w:rPr>
          <w:rStyle w:val="FootnoteReference"/>
        </w:rPr>
        <w:footnoteReference w:id="27"/>
      </w:r>
      <w:r w:rsidRPr="001173A7">
        <w:rPr>
          <w:vertAlign w:val="superscript"/>
        </w:rPr>
        <w:t>*</w:t>
      </w:r>
      <w:r w:rsidRPr="001173A7">
        <w:t xml:space="preserve"> To put that into perspective, there are more, average risk adults </w:t>
      </w:r>
      <w:proofErr w:type="gramStart"/>
      <w:r w:rsidRPr="001173A7">
        <w:t>whom</w:t>
      </w:r>
      <w:proofErr w:type="gramEnd"/>
      <w:r w:rsidRPr="001173A7">
        <w:t xml:space="preserve"> are due for screening than the entire population of California, our country’s most populous state.</w:t>
      </w:r>
      <w:r w:rsidRPr="008E6116">
        <w:rPr>
          <w:rStyle w:val="FootnoteReference"/>
        </w:rPr>
        <w:footnoteReference w:id="28"/>
      </w:r>
    </w:p>
    <w:p w14:paraId="43632ECE" w14:textId="050A80E6" w:rsidR="001173A7" w:rsidRPr="001173A7" w:rsidRDefault="001173A7" w:rsidP="001173A7">
      <w:r w:rsidRPr="001173A7">
        <w:t xml:space="preserve">5.4:  As a practicing gastroenterologist, it’s jarring to hear </w:t>
      </w:r>
      <w:proofErr w:type="gramStart"/>
      <w:r w:rsidRPr="001173A7">
        <w:t>that millions of eligible adults</w:t>
      </w:r>
      <w:proofErr w:type="gramEnd"/>
      <w:r w:rsidRPr="001173A7">
        <w:t xml:space="preserve"> are not getting screened, especially when the benefit of screening is well documented.</w:t>
      </w:r>
      <w:r w:rsidRPr="008E6116">
        <w:rPr>
          <w:rStyle w:val="FootnoteReference"/>
        </w:rPr>
        <w:footnoteReference w:id="29"/>
      </w:r>
      <w:r w:rsidRPr="001173A7">
        <w:rPr>
          <w:vertAlign w:val="superscript"/>
        </w:rPr>
        <w:t xml:space="preserve"> </w:t>
      </w:r>
      <w:r w:rsidRPr="001173A7">
        <w:t xml:space="preserve">Providers often offer screening during routine wellness visits, however the </w:t>
      </w:r>
      <w:r w:rsidR="007719FA">
        <w:t>colorectal cancer</w:t>
      </w:r>
      <w:r w:rsidR="007719FA" w:rsidRPr="00C0382E">
        <w:t xml:space="preserve"> </w:t>
      </w:r>
      <w:r w:rsidRPr="001173A7">
        <w:t>screening rate hovers around 67%.</w:t>
      </w:r>
      <w:r>
        <w:rPr>
          <w:rStyle w:val="FootnoteReference"/>
        </w:rPr>
        <w:footnoteReference w:id="30"/>
      </w:r>
      <w:r w:rsidRPr="007378AF">
        <w:rPr>
          <w:rFonts w:cstheme="minorHAnsi"/>
          <w:vertAlign w:val="superscript"/>
        </w:rPr>
        <w:t>†</w:t>
      </w:r>
      <w:r w:rsidRPr="001173A7">
        <w:t xml:space="preserve"> Why is this?</w:t>
      </w:r>
    </w:p>
    <w:p w14:paraId="0378F99D" w14:textId="2FF41A13" w:rsidR="0018784E" w:rsidRPr="0018784E" w:rsidRDefault="0018784E" w:rsidP="0018784E">
      <w:pPr>
        <w:tabs>
          <w:tab w:val="left" w:pos="900"/>
        </w:tabs>
      </w:pPr>
      <w:r w:rsidRPr="0018784E">
        <w:t>5.5:  In one study of 483 patients conducted prior to the COVID pandemic 198, described some type of barrier when asked</w:t>
      </w:r>
      <w:r w:rsidR="007378AF">
        <w:t xml:space="preserve"> the</w:t>
      </w:r>
      <w:r w:rsidRPr="0018784E">
        <w:t xml:space="preserve"> open-ended question, “what barriers</w:t>
      </w:r>
      <w:r w:rsidR="00D235C1">
        <w:t xml:space="preserve"> or </w:t>
      </w:r>
      <w:r w:rsidRPr="0018784E">
        <w:t xml:space="preserve">things got in the way of being screened” </w:t>
      </w:r>
      <w:r>
        <w:rPr>
          <w:rStyle w:val="FootnoteReference"/>
        </w:rPr>
        <w:footnoteReference w:id="31"/>
      </w:r>
      <w:r>
        <w:rPr>
          <w:rFonts w:cstheme="minorHAnsi"/>
          <w:vertAlign w:val="superscript"/>
        </w:rPr>
        <w:t>‡</w:t>
      </w:r>
    </w:p>
    <w:p w14:paraId="36B5844A" w14:textId="212859DD" w:rsidR="0018784E" w:rsidRPr="0018784E" w:rsidRDefault="0018784E" w:rsidP="0018784E">
      <w:pPr>
        <w:tabs>
          <w:tab w:val="left" w:pos="900"/>
        </w:tabs>
      </w:pPr>
      <w:r w:rsidRPr="0018784E">
        <w:t xml:space="preserve">5.6:  Nearly a third of respondents (29.5%) mentioned fear or worry, which ranged from general fear to more specific concerns about the procedure, </w:t>
      </w:r>
      <w:proofErr w:type="gramStart"/>
      <w:r w:rsidRPr="0018784E">
        <w:t>sedation</w:t>
      </w:r>
      <w:proofErr w:type="gramEnd"/>
      <w:r w:rsidRPr="0018784E">
        <w:t xml:space="preserve"> and the possible test outcome.</w:t>
      </w:r>
      <w:r w:rsidRPr="0018784E">
        <w:rPr>
          <w:vertAlign w:val="superscript"/>
        </w:rPr>
        <w:t>3</w:t>
      </w:r>
      <w:r w:rsidR="00D406F3">
        <w:rPr>
          <w:vertAlign w:val="superscript"/>
        </w:rPr>
        <w:t>1</w:t>
      </w:r>
      <w:r>
        <w:rPr>
          <w:rFonts w:cstheme="minorHAnsi"/>
          <w:vertAlign w:val="superscript"/>
        </w:rPr>
        <w:t>‡</w:t>
      </w:r>
    </w:p>
    <w:p w14:paraId="5535F246" w14:textId="240C38AC" w:rsidR="0018784E" w:rsidRPr="0018784E" w:rsidRDefault="0018784E" w:rsidP="0018784E">
      <w:pPr>
        <w:tabs>
          <w:tab w:val="left" w:pos="1380"/>
        </w:tabs>
      </w:pPr>
      <w:r w:rsidRPr="0018784E">
        <w:t>5.7:  Other responses included logistic challenges with screening (19.1%), that screening was a low priority (15.8%), discomfort or disgust with the procedure (11.5%) or the bowel preparation for colonoscopy (6.6%).</w:t>
      </w:r>
      <w:r w:rsidRPr="0018784E">
        <w:rPr>
          <w:vertAlign w:val="superscript"/>
        </w:rPr>
        <w:t>3</w:t>
      </w:r>
      <w:r w:rsidR="00D406F3">
        <w:rPr>
          <w:vertAlign w:val="superscript"/>
        </w:rPr>
        <w:t>1</w:t>
      </w:r>
      <w:r>
        <w:rPr>
          <w:rFonts w:cstheme="minorHAnsi"/>
          <w:vertAlign w:val="superscript"/>
        </w:rPr>
        <w:t>‡</w:t>
      </w:r>
    </w:p>
    <w:p w14:paraId="6446725D" w14:textId="75424C20" w:rsidR="0018784E" w:rsidRDefault="0018784E" w:rsidP="0018784E">
      <w:pPr>
        <w:tabs>
          <w:tab w:val="left" w:pos="1380"/>
        </w:tabs>
        <w:rPr>
          <w:rFonts w:cstheme="minorHAnsi"/>
          <w:vertAlign w:val="superscript"/>
        </w:rPr>
      </w:pPr>
      <w:r w:rsidRPr="0018784E">
        <w:t>5.8:  Perceived barriers may lead to nonadherence</w:t>
      </w:r>
      <w:r w:rsidR="00034ADA">
        <w:t>,</w:t>
      </w:r>
      <w:r w:rsidRPr="0018784E">
        <w:rPr>
          <w:vertAlign w:val="superscript"/>
        </w:rPr>
        <w:t xml:space="preserve"> </w:t>
      </w:r>
      <w:r w:rsidRPr="0018784E">
        <w:t xml:space="preserve">it’s important to identify a screening option that is appropriate for </w:t>
      </w:r>
      <w:proofErr w:type="gramStart"/>
      <w:r w:rsidRPr="0018784E">
        <w:t>each individual</w:t>
      </w:r>
      <w:proofErr w:type="gramEnd"/>
      <w:r w:rsidRPr="0018784E">
        <w:t xml:space="preserve"> based on their own preferences.</w:t>
      </w:r>
      <w:r w:rsidRPr="0018784E">
        <w:rPr>
          <w:vertAlign w:val="superscript"/>
        </w:rPr>
        <w:t>3</w:t>
      </w:r>
      <w:r w:rsidR="00D406F3">
        <w:rPr>
          <w:vertAlign w:val="superscript"/>
        </w:rPr>
        <w:t>1</w:t>
      </w:r>
      <w:r>
        <w:rPr>
          <w:rFonts w:cstheme="minorHAnsi"/>
          <w:vertAlign w:val="superscript"/>
        </w:rPr>
        <w:t>‡</w:t>
      </w:r>
    </w:p>
    <w:p w14:paraId="0B6F5792" w14:textId="77777777" w:rsidR="00FB1251" w:rsidRDefault="00FB1251" w:rsidP="0018784E">
      <w:pPr>
        <w:tabs>
          <w:tab w:val="left" w:pos="1380"/>
        </w:tabs>
      </w:pPr>
    </w:p>
    <w:p w14:paraId="0F183438" w14:textId="2956E8CC" w:rsidR="00191029" w:rsidRPr="00191029" w:rsidRDefault="00191029" w:rsidP="00191029">
      <w:pPr>
        <w:tabs>
          <w:tab w:val="left" w:pos="1380"/>
        </w:tabs>
      </w:pPr>
      <w:r w:rsidRPr="00191029">
        <w:lastRenderedPageBreak/>
        <w:t>6.1:  There are multiple test options for</w:t>
      </w:r>
      <w:r w:rsidR="007719FA" w:rsidRPr="007719FA">
        <w:t xml:space="preserve"> </w:t>
      </w:r>
      <w:r w:rsidR="007719FA">
        <w:t>colorectal cancer</w:t>
      </w:r>
      <w:r w:rsidR="007719FA" w:rsidRPr="00C0382E">
        <w:t xml:space="preserve"> </w:t>
      </w:r>
      <w:r w:rsidR="007719FA">
        <w:t>s</w:t>
      </w:r>
      <w:r w:rsidRPr="00191029">
        <w:t xml:space="preserve">creening, and published evidence has shown that when patients are given a choice of two screening </w:t>
      </w:r>
      <w:r w:rsidR="00034ADA" w:rsidRPr="00191029">
        <w:t>options, adherence</w:t>
      </w:r>
      <w:r w:rsidRPr="00191029">
        <w:t xml:space="preserve"> rates nearly double.</w:t>
      </w:r>
      <w:r>
        <w:rPr>
          <w:rStyle w:val="FootnoteReference"/>
        </w:rPr>
        <w:footnoteReference w:id="32"/>
      </w:r>
    </w:p>
    <w:p w14:paraId="2E9803FD" w14:textId="333F8EC4" w:rsidR="00191029" w:rsidRPr="00191029" w:rsidRDefault="00191029" w:rsidP="00191029">
      <w:pPr>
        <w:tabs>
          <w:tab w:val="left" w:pos="1380"/>
        </w:tabs>
      </w:pPr>
      <w:r w:rsidRPr="00191029">
        <w:t xml:space="preserve">6.2:  Dr. John </w:t>
      </w:r>
      <w:proofErr w:type="spellStart"/>
      <w:r w:rsidRPr="00191029">
        <w:t>Inadomi</w:t>
      </w:r>
      <w:proofErr w:type="spellEnd"/>
      <w:r w:rsidRPr="00191029">
        <w:t xml:space="preserve"> and his colleagues published a study involving patient choice in </w:t>
      </w:r>
      <w:r w:rsidRPr="00191029">
        <w:rPr>
          <w:i/>
          <w:iCs/>
        </w:rPr>
        <w:t xml:space="preserve">Archives of Internal Medicine </w:t>
      </w:r>
      <w:r w:rsidRPr="00191029">
        <w:t xml:space="preserve">in 2012.  They randomized 997 patients ages 50-79 with average risk of </w:t>
      </w:r>
      <w:r w:rsidR="007719FA">
        <w:t>colorectal cancer</w:t>
      </w:r>
      <w:r w:rsidR="007719FA" w:rsidRPr="00191029">
        <w:t xml:space="preserve"> </w:t>
      </w:r>
      <w:r w:rsidRPr="00191029">
        <w:t xml:space="preserve">to one of three study arms. </w:t>
      </w:r>
    </w:p>
    <w:p w14:paraId="18DDCADE" w14:textId="22A7FF97" w:rsidR="00191029" w:rsidRPr="00191029" w:rsidRDefault="00191029" w:rsidP="00191029">
      <w:pPr>
        <w:tabs>
          <w:tab w:val="left" w:pos="1380"/>
        </w:tabs>
      </w:pPr>
      <w:r w:rsidRPr="00191029">
        <w:t xml:space="preserve">6.3:  Patients were given an initial </w:t>
      </w:r>
      <w:r w:rsidR="007719FA">
        <w:t>colorectal cancer</w:t>
      </w:r>
      <w:r w:rsidR="007719FA" w:rsidRPr="00C0382E">
        <w:t xml:space="preserve"> </w:t>
      </w:r>
      <w:r w:rsidRPr="00191029">
        <w:t>screening recommendation of fecal occult blood test (FOBT), colonoscopy, or their choice of the two tests.</w:t>
      </w:r>
    </w:p>
    <w:p w14:paraId="4B3E565C" w14:textId="3F07F906" w:rsidR="00191029" w:rsidRPr="00191029" w:rsidRDefault="00191029" w:rsidP="00191029">
      <w:pPr>
        <w:tabs>
          <w:tab w:val="left" w:pos="1380"/>
        </w:tabs>
      </w:pPr>
      <w:r w:rsidRPr="00191029">
        <w:t>6.4:  When patients were offered colonoscopy alone, just 38% were screened at 1-year</w:t>
      </w:r>
      <w:r w:rsidR="00A923E1">
        <w:t>.</w:t>
      </w:r>
      <w:r>
        <w:rPr>
          <w:vertAlign w:val="superscript"/>
        </w:rPr>
        <w:t>3</w:t>
      </w:r>
      <w:r w:rsidR="00D406F3">
        <w:rPr>
          <w:vertAlign w:val="superscript"/>
        </w:rPr>
        <w:t>2</w:t>
      </w:r>
      <w:r>
        <w:rPr>
          <w:vertAlign w:val="superscript"/>
        </w:rPr>
        <w:t>*</w:t>
      </w:r>
    </w:p>
    <w:p w14:paraId="3183E276" w14:textId="20E5FDE7" w:rsidR="00191029" w:rsidRPr="00191029" w:rsidRDefault="00191029" w:rsidP="00191029">
      <w:pPr>
        <w:tabs>
          <w:tab w:val="left" w:pos="1380"/>
        </w:tabs>
      </w:pPr>
      <w:r w:rsidRPr="00191029">
        <w:t xml:space="preserve">6.5:  In the choice arm, sixty-nine (69%) percent (n=221/321) patients who were given a choice between two different </w:t>
      </w:r>
      <w:r w:rsidR="007719FA">
        <w:t>colorectal cancer</w:t>
      </w:r>
      <w:r w:rsidR="007719FA" w:rsidRPr="00C0382E">
        <w:t xml:space="preserve"> </w:t>
      </w:r>
      <w:r w:rsidRPr="00191029">
        <w:t>screening modalities (FOBT or colonoscopy) completed their screening within 1 year</w:t>
      </w:r>
      <w:r w:rsidR="00A923E1">
        <w:t>.</w:t>
      </w:r>
    </w:p>
    <w:p w14:paraId="2B9396F2" w14:textId="77777777" w:rsidR="00191029" w:rsidRPr="00191029" w:rsidRDefault="00191029" w:rsidP="00191029">
      <w:pPr>
        <w:tabs>
          <w:tab w:val="left" w:pos="1380"/>
        </w:tabs>
      </w:pPr>
      <w:r w:rsidRPr="00191029">
        <w:t xml:space="preserve">6.6:  Of patients who were recommended FOBT stool testing, sixty-seven (67%) percent (n=231/344) were adherent with screening.  </w:t>
      </w:r>
    </w:p>
    <w:p w14:paraId="7D5A2E56" w14:textId="77777777" w:rsidR="00191029" w:rsidRPr="00191029" w:rsidRDefault="00191029" w:rsidP="00191029">
      <w:pPr>
        <w:tabs>
          <w:tab w:val="left" w:pos="1380"/>
        </w:tabs>
      </w:pPr>
      <w:r w:rsidRPr="00191029">
        <w:t>6.7:  There was a thirty-one percent (31%) absolute increase in patient adherence in the choice arm vs. for patients who were offered colonoscopy alone.</w:t>
      </w:r>
    </w:p>
    <w:p w14:paraId="07B0837F" w14:textId="76B28657" w:rsidR="00191029" w:rsidRPr="00191029" w:rsidRDefault="00191029" w:rsidP="00191029">
      <w:pPr>
        <w:tabs>
          <w:tab w:val="left" w:pos="1380"/>
        </w:tabs>
      </w:pPr>
      <w:r w:rsidRPr="00191029">
        <w:t xml:space="preserve">6.8:  It is interesting to note that the investigators thought patient adherence would </w:t>
      </w:r>
      <w:r w:rsidRPr="00A41E91">
        <w:t>decrease</w:t>
      </w:r>
      <w:r w:rsidRPr="00191029">
        <w:t xml:space="preserve"> if patients were given a choice of tests, but this hypothesis did not bear out.</w:t>
      </w:r>
      <w:r>
        <w:rPr>
          <w:vertAlign w:val="superscript"/>
        </w:rPr>
        <w:t>3</w:t>
      </w:r>
      <w:r w:rsidR="005E3031">
        <w:rPr>
          <w:vertAlign w:val="superscript"/>
        </w:rPr>
        <w:t>2</w:t>
      </w:r>
    </w:p>
    <w:p w14:paraId="19B14222" w14:textId="23F58105" w:rsidR="00191029" w:rsidRPr="00191029" w:rsidRDefault="00191029" w:rsidP="00191029">
      <w:pPr>
        <w:tabs>
          <w:tab w:val="left" w:pos="1380"/>
        </w:tabs>
      </w:pPr>
      <w:r w:rsidRPr="00191029">
        <w:t xml:space="preserve">6.9:  These results support offering test choices to patients when making </w:t>
      </w:r>
      <w:r w:rsidR="007719FA">
        <w:t>colorectal cancer</w:t>
      </w:r>
      <w:r w:rsidR="007719FA" w:rsidRPr="00C0382E">
        <w:t xml:space="preserve"> </w:t>
      </w:r>
      <w:r w:rsidRPr="00191029">
        <w:t xml:space="preserve">screening recommendations.  </w:t>
      </w:r>
    </w:p>
    <w:p w14:paraId="20F2EAA7" w14:textId="546D413E" w:rsidR="00191029" w:rsidRPr="00191029" w:rsidRDefault="00191029" w:rsidP="00191029">
      <w:pPr>
        <w:tabs>
          <w:tab w:val="left" w:pos="1380"/>
        </w:tabs>
      </w:pPr>
      <w:r w:rsidRPr="00191029">
        <w:t>7.1:  Since the mt-sDNA test, or Cologuard, was launched, more than five million patients have been screened with this test nearly half of whom self-report that they have never been screened before.</w:t>
      </w:r>
      <w:r>
        <w:rPr>
          <w:rStyle w:val="FootnoteReference"/>
        </w:rPr>
        <w:footnoteReference w:id="33"/>
      </w:r>
      <w:r>
        <w:rPr>
          <w:rFonts w:cstheme="minorHAnsi"/>
          <w:vertAlign w:val="superscript"/>
        </w:rPr>
        <w:t>†</w:t>
      </w:r>
      <w:r w:rsidRPr="00191029">
        <w:t xml:space="preserve"> I</w:t>
      </w:r>
      <w:r w:rsidR="001A32A0">
        <w:t xml:space="preserve"> </w:t>
      </w:r>
      <w:r w:rsidRPr="00191029">
        <w:t xml:space="preserve">want to share one example of a previously unscreened patient, recounted firsthand </w:t>
      </w:r>
    </w:p>
    <w:p w14:paraId="15C997A0" w14:textId="2353A379" w:rsidR="00191029" w:rsidRPr="00A4128A" w:rsidRDefault="00191029" w:rsidP="00191029">
      <w:pPr>
        <w:tabs>
          <w:tab w:val="left" w:pos="1380"/>
        </w:tabs>
      </w:pPr>
      <w:r w:rsidRPr="00191029">
        <w:t xml:space="preserve">7.2: “This story reflects one individual’s experience. Not every person will have the same treatment, </w:t>
      </w:r>
      <w:r w:rsidRPr="00A4128A">
        <w:t xml:space="preserve">experience, outcome, or result. Cologuard is prescribed by a health care provider. </w:t>
      </w:r>
    </w:p>
    <w:p w14:paraId="71CA9915" w14:textId="797B3C9B" w:rsidR="00191029" w:rsidRPr="00191029" w:rsidRDefault="00191029" w:rsidP="00191029">
      <w:pPr>
        <w:tabs>
          <w:tab w:val="left" w:pos="1380"/>
        </w:tabs>
      </w:pPr>
      <w:r w:rsidRPr="00A4128A">
        <w:t xml:space="preserve">Visit www.Cologuard.com for </w:t>
      </w:r>
      <w:r w:rsidR="002375C2">
        <w:t xml:space="preserve">important risk information and </w:t>
      </w:r>
      <w:r w:rsidRPr="00A4128A">
        <w:t>more information about Cologuard. “</w:t>
      </w:r>
    </w:p>
    <w:p w14:paraId="6B897F3E" w14:textId="32335E17" w:rsidR="00C0382E" w:rsidRPr="00C0382E" w:rsidRDefault="00C0382E" w:rsidP="00C0382E">
      <w:r w:rsidRPr="00C0382E">
        <w:lastRenderedPageBreak/>
        <w:t>I wanted to come down and write this letter because their work matters so much.  And I just want to thank everyone at Exact Sciences and Cologuard for what they do.</w:t>
      </w:r>
    </w:p>
    <w:p w14:paraId="7265BC37" w14:textId="0DACD785" w:rsidR="00C0382E" w:rsidRPr="00C0382E" w:rsidRDefault="00C0382E" w:rsidP="00C0382E">
      <w:r w:rsidRPr="00C0382E">
        <w:t xml:space="preserve">Last year, a friend and I attended the Cologuard Classic.  As a 52-year-old male, I knew I’d need a </w:t>
      </w:r>
      <w:r w:rsidR="00A41E91" w:rsidRPr="00C0382E">
        <w:t>colonoscopy</w:t>
      </w:r>
      <w:r w:rsidRPr="00C0382E">
        <w:t xml:space="preserve"> at some point, but had heard the stories of the prep, etc.  I wasn’t very excited to get one and had been putting it off.  When my doctor and I were talking during a checkup last Fall, he suggested a Cologuard test since I was resistant to a full colonoscopy.  I take the Cologuard test, it comes back positive.  Not to worry, said the doctor, but you do need a full colonoscopy.  I found out I had a big tumor completely blocking my colon.  </w:t>
      </w:r>
    </w:p>
    <w:p w14:paraId="4A362433" w14:textId="0A3FEF6B" w:rsidR="00C0382E" w:rsidRPr="00C0382E" w:rsidRDefault="00C0382E" w:rsidP="00C0382E">
      <w:r w:rsidRPr="00C0382E">
        <w:t xml:space="preserve">December 7th was my surgery.  The tumor was so large, sorry, the tumor was large, so the </w:t>
      </w:r>
      <w:r w:rsidR="00A41E91" w:rsidRPr="00C0382E">
        <w:t>laparoscopic</w:t>
      </w:r>
      <w:r w:rsidRPr="00C0382E">
        <w:t xml:space="preserve"> procedure became a regular surgery.  After the surgery, I woke up and I asked the doctor, “how did it go?”  He said, “we’ll know when the pathology comes back.”  I said “you’ve </w:t>
      </w:r>
      <w:proofErr w:type="spellStart"/>
      <w:r w:rsidRPr="00C0382E">
        <w:t>gotta</w:t>
      </w:r>
      <w:proofErr w:type="spellEnd"/>
      <w:r w:rsidRPr="00C0382E">
        <w:t xml:space="preserve"> give me more than that, doc. How did it go?”  And he said, “quite frankly Scott, we have concerns.”  And that’s when it really got dark.  The pathology came </w:t>
      </w:r>
      <w:proofErr w:type="gramStart"/>
      <w:r w:rsidRPr="00C0382E">
        <w:t>back</w:t>
      </w:r>
      <w:proofErr w:type="gramEnd"/>
      <w:r w:rsidRPr="00C0382E">
        <w:t xml:space="preserve"> and it was negative for spread.  They got all the cancer.  Not kidding, this screening changed the course of my life.  I may not be here.  I might have been in radiation or chemo right now.  And because of Cologuard, I’m not.  </w:t>
      </w:r>
    </w:p>
    <w:p w14:paraId="113F8E08" w14:textId="3A557C3A" w:rsidR="00191029" w:rsidRPr="00C0382E" w:rsidRDefault="00C0382E" w:rsidP="00C0382E">
      <w:r w:rsidRPr="00C0382E">
        <w:t>I’m so thankful for what you do.  Wishing you all great success at your event this week, and with utmost respect and gratitude.  And I signed my name, Scott.</w:t>
      </w:r>
    </w:p>
    <w:p w14:paraId="36E30DDC" w14:textId="5A12F2B8" w:rsidR="00191029" w:rsidRPr="00191029" w:rsidRDefault="00191029" w:rsidP="00191029">
      <w:pPr>
        <w:tabs>
          <w:tab w:val="left" w:pos="1380"/>
        </w:tabs>
      </w:pPr>
      <w:r w:rsidRPr="00191029">
        <w:t xml:space="preserve">7.3:  I’ve </w:t>
      </w:r>
      <w:r w:rsidRPr="001A32A0">
        <w:t xml:space="preserve">tried to </w:t>
      </w:r>
      <w:r w:rsidR="00A41E91" w:rsidRPr="001A32A0">
        <w:t>share</w:t>
      </w:r>
      <w:r w:rsidRPr="00191029">
        <w:t xml:space="preserve"> my passion for the importance and the impact of </w:t>
      </w:r>
      <w:r w:rsidR="007719FA">
        <w:t>colorectal cancer</w:t>
      </w:r>
      <w:r w:rsidR="007719FA" w:rsidRPr="00C0382E">
        <w:t xml:space="preserve"> </w:t>
      </w:r>
      <w:r w:rsidR="007719FA">
        <w:t>s</w:t>
      </w:r>
      <w:r w:rsidRPr="00191029">
        <w:t>creening. The message I want to deliver is simply this:  The evidence is clear.  It’s time to think differently about colorectal cancer screening, we should be offering choices starting at age 45 to average risk patients. Think about the incredible difference we can make by better enabling patients to make an informed decision about how they prefer to get screened.</w:t>
      </w:r>
      <w:r w:rsidR="00C0382E">
        <w:rPr>
          <w:rStyle w:val="FootnoteReference"/>
        </w:rPr>
        <w:footnoteReference w:id="34"/>
      </w:r>
      <w:r w:rsidRPr="00191029">
        <w:rPr>
          <w:vertAlign w:val="superscript"/>
        </w:rPr>
        <w:t>,</w:t>
      </w:r>
      <w:r w:rsidR="00C0382E">
        <w:rPr>
          <w:rStyle w:val="FootnoteReference"/>
        </w:rPr>
        <w:footnoteReference w:id="35"/>
      </w:r>
      <w:r w:rsidRPr="00191029">
        <w:rPr>
          <w:vertAlign w:val="superscript"/>
        </w:rPr>
        <w:t>*</w:t>
      </w:r>
      <w:r w:rsidRPr="00191029">
        <w:t xml:space="preserve"> When we give patients options, they are far more likely to choose, and complete, a </w:t>
      </w:r>
      <w:r w:rsidR="007719FA">
        <w:t>colorectal cancer</w:t>
      </w:r>
      <w:r w:rsidR="007719FA" w:rsidRPr="00C0382E">
        <w:t xml:space="preserve"> </w:t>
      </w:r>
      <w:r w:rsidRPr="00191029">
        <w:t>screening strategy that works for them</w:t>
      </w:r>
      <w:r w:rsidR="00E42856">
        <w:t>.</w:t>
      </w:r>
      <w:r w:rsidR="00C0382E">
        <w:rPr>
          <w:rStyle w:val="FootnoteReference"/>
        </w:rPr>
        <w:footnoteReference w:id="36"/>
      </w:r>
      <w:r w:rsidRPr="00191029">
        <w:t xml:space="preserve"> Conversely, when we use a “one size fits all” approach, too many patients make no screening choice</w:t>
      </w:r>
      <w:r w:rsidR="00C0382E">
        <w:rPr>
          <w:vertAlign w:val="superscript"/>
        </w:rPr>
        <w:t>3</w:t>
      </w:r>
      <w:r w:rsidR="00D406F3">
        <w:rPr>
          <w:vertAlign w:val="superscript"/>
        </w:rPr>
        <w:t>4</w:t>
      </w:r>
      <w:r w:rsidRPr="00191029">
        <w:t>, and not screening can lead to incident, and sometimes even fatal, colorectal cancers that might have otherwise been avoided.</w:t>
      </w:r>
      <w:r w:rsidR="00C0382E">
        <w:rPr>
          <w:rStyle w:val="FootnoteReference"/>
        </w:rPr>
        <w:footnoteReference w:id="37"/>
      </w:r>
      <w:r w:rsidRPr="00191029">
        <w:rPr>
          <w:vertAlign w:val="superscript"/>
        </w:rPr>
        <w:t>,</w:t>
      </w:r>
      <w:r w:rsidR="00C0382E">
        <w:rPr>
          <w:rStyle w:val="FootnoteReference"/>
        </w:rPr>
        <w:footnoteReference w:id="38"/>
      </w:r>
      <w:r w:rsidRPr="00191029">
        <w:rPr>
          <w:vertAlign w:val="superscript"/>
        </w:rPr>
        <w:t>†</w:t>
      </w:r>
    </w:p>
    <w:p w14:paraId="70BA4530" w14:textId="5C6C04CF" w:rsidR="00191029" w:rsidRDefault="00034ADA" w:rsidP="0018784E">
      <w:pPr>
        <w:tabs>
          <w:tab w:val="left" w:pos="1380"/>
        </w:tabs>
      </w:pPr>
      <w:r w:rsidRPr="00C0382E">
        <w:lastRenderedPageBreak/>
        <w:t>7.4</w:t>
      </w:r>
      <w:r w:rsidR="00711476">
        <w:t>:</w:t>
      </w:r>
      <w:r w:rsidRPr="00C0382E">
        <w:t xml:space="preserve"> At</w:t>
      </w:r>
      <w:r w:rsidR="00C0382E" w:rsidRPr="00C0382E">
        <w:t xml:space="preserve"> Exact Sciences we aim to help minimize the burden of cancer, motivated by trying to improve the health of the people that we serve. We want to empower people with information, so they can make more informed decisions. </w:t>
      </w:r>
    </w:p>
    <w:p w14:paraId="1B961BD8" w14:textId="7A463F96" w:rsidR="00C0382E" w:rsidRPr="00C0382E" w:rsidRDefault="00C0382E" w:rsidP="00C0382E">
      <w:pPr>
        <w:tabs>
          <w:tab w:val="left" w:pos="1380"/>
        </w:tabs>
      </w:pPr>
      <w:r w:rsidRPr="00C0382E">
        <w:t>7.5</w:t>
      </w:r>
      <w:r w:rsidR="00711476">
        <w:t>:</w:t>
      </w:r>
      <w:r w:rsidRPr="00C0382E">
        <w:t xml:space="preserve"> Thanks for watching this presentation. We invite you to join us in our mission, helping to spread the message that there is more than one option for effective </w:t>
      </w:r>
      <w:r w:rsidR="00812456">
        <w:t>colorectal cancer</w:t>
      </w:r>
      <w:r w:rsidRPr="00C0382E">
        <w:t xml:space="preserve"> screening, and encouraging patients to choose a test that they will complete.</w:t>
      </w:r>
    </w:p>
    <w:p w14:paraId="177AB36A" w14:textId="492B8F1C" w:rsidR="00C0382E" w:rsidRPr="00C0382E" w:rsidRDefault="00C0382E" w:rsidP="00C0382E">
      <w:pPr>
        <w:tabs>
          <w:tab w:val="left" w:pos="1380"/>
        </w:tabs>
      </w:pPr>
      <w:r>
        <w:t>8.0</w:t>
      </w:r>
      <w:r w:rsidR="007E0926">
        <w:t>:</w:t>
      </w:r>
      <w:r>
        <w:t xml:space="preserve"> </w:t>
      </w:r>
      <w:r w:rsidRPr="00C0382E">
        <w:t>Cologuard is intended for the qualitative detection of colorectal neoplasia associated DNA markers and for the presence of occult hemoglobin in human stool. A positive result may indicate the presence of colorectal cancer (CRC) or advanced adenoma (AA) and should be followed by diagnostic colonoscopy. Cologuard is indicated to screen adults of either sex, 45 years or older, who are at typical average risk for</w:t>
      </w:r>
      <w:r w:rsidR="00812456">
        <w:t xml:space="preserve"> colorectal cancer</w:t>
      </w:r>
      <w:r w:rsidRPr="00C0382E">
        <w:t>. Cologuard is not a replacement for diagnostic colonoscopy or surveillance colonoscopy in high-risk individuals</w:t>
      </w:r>
    </w:p>
    <w:p w14:paraId="00155B21" w14:textId="77777777" w:rsidR="00C0382E" w:rsidRPr="00C0382E" w:rsidRDefault="00C0382E" w:rsidP="00C0382E">
      <w:pPr>
        <w:tabs>
          <w:tab w:val="left" w:pos="1380"/>
        </w:tabs>
      </w:pPr>
      <w:r w:rsidRPr="00C0382E">
        <w:t>Cologuard is not for high-risk individuals, including patients with a personal history of colorectal cancer and adenomas; have had a positive result from another colorectal cancer screening method within the last 6 months; have been diagnosed with a condition associated with high risk for colorectal cancer such as IBD, chronic ulcerative colitis, Crohn’s disease; or have a family history of colorectal cancer, or certain hereditary syndromes.</w:t>
      </w:r>
    </w:p>
    <w:p w14:paraId="125EF28E" w14:textId="77777777" w:rsidR="00C0382E" w:rsidRPr="00C0382E" w:rsidRDefault="00C0382E" w:rsidP="00C0382E">
      <w:pPr>
        <w:tabs>
          <w:tab w:val="left" w:pos="1380"/>
        </w:tabs>
      </w:pPr>
      <w:r w:rsidRPr="00C0382E">
        <w:t>Positive Cologuard results should be referred to diagnostic colonoscopy. A negative Cologuard test result does not guarantee absence of cancer or advanced adenoma. Following a negative result, patients should continue participating in a screening program at an interval and with a method appropriate for the individual patient.</w:t>
      </w:r>
    </w:p>
    <w:p w14:paraId="567C2788" w14:textId="612FFA1E" w:rsidR="00C0382E" w:rsidRPr="00C0382E" w:rsidRDefault="00C0382E" w:rsidP="00C0382E">
      <w:pPr>
        <w:tabs>
          <w:tab w:val="left" w:pos="1380"/>
        </w:tabs>
      </w:pPr>
      <w:r w:rsidRPr="00C0382E">
        <w:t xml:space="preserve">False positives and false negatives do occur. In a clinical study, 13% of patients without cancer received a positive result (false positive) and 8% of patients with cancer received a negative result (false negative). The clinical validation study was conducted in patients 50 years of age and older.  Cologuard performance in patients ages 45 to 49 years was estimated by sub-group analysis of near-age groups.  </w:t>
      </w:r>
    </w:p>
    <w:p w14:paraId="72801BE9" w14:textId="3B9FB2FF" w:rsidR="00C0382E" w:rsidRDefault="00C0382E" w:rsidP="0018784E">
      <w:pPr>
        <w:tabs>
          <w:tab w:val="left" w:pos="1380"/>
        </w:tabs>
      </w:pPr>
      <w:r w:rsidRPr="00C0382E">
        <w:t>Cologuard performance when used for repeat testing has not been evaluated or established. Rx only.</w:t>
      </w:r>
    </w:p>
    <w:p w14:paraId="4BFC9D88" w14:textId="02312C86" w:rsidR="00C0382E" w:rsidRPr="00C0382E" w:rsidRDefault="00C0382E" w:rsidP="00C0382E">
      <w:pPr>
        <w:tabs>
          <w:tab w:val="left" w:pos="1380"/>
        </w:tabs>
      </w:pPr>
      <w:r>
        <w:t>9.0</w:t>
      </w:r>
      <w:r w:rsidR="00711476">
        <w:t>.</w:t>
      </w:r>
      <w:r>
        <w:t xml:space="preserve"> </w:t>
      </w:r>
      <w:r w:rsidRPr="00C0382E">
        <w:t xml:space="preserve">“Information provided is not treatment advice for any particular patient and results may vary. Not every person will have the same treatment, experience, outcome, or result. Exact Sciences Corporation does </w:t>
      </w:r>
      <w:r w:rsidR="00034ADA" w:rsidRPr="00C0382E">
        <w:t>not recommend</w:t>
      </w:r>
      <w:r w:rsidRPr="00C0382E">
        <w:t xml:space="preserve"> or endorse any particular course of treatment or medical choice.</w:t>
      </w:r>
      <w:r w:rsidR="001A32A0">
        <w:t>”</w:t>
      </w:r>
    </w:p>
    <w:p w14:paraId="0907BA62" w14:textId="3385CEDF" w:rsidR="00C0382E" w:rsidRDefault="00C0382E" w:rsidP="0018784E">
      <w:pPr>
        <w:tabs>
          <w:tab w:val="left" w:pos="1380"/>
        </w:tabs>
      </w:pPr>
      <w:r w:rsidRPr="00C0382E">
        <w:t>“There are potential risks associated with the Cologuard test and it may not be appropriate for all patients. For more information about the risks</w:t>
      </w:r>
      <w:r w:rsidR="001A32A0">
        <w:t xml:space="preserve"> </w:t>
      </w:r>
      <w:r w:rsidRPr="00C0382E">
        <w:t>visit www.cologuard.com for more information about Cologuard.”</w:t>
      </w:r>
    </w:p>
    <w:p w14:paraId="1462FCCF" w14:textId="561169A1" w:rsidR="00C0382E" w:rsidRPr="00E42856" w:rsidRDefault="001A32A0" w:rsidP="00E42856">
      <w:r>
        <w:t xml:space="preserve">10. </w:t>
      </w:r>
      <w:r w:rsidRPr="001A32A0">
        <w:t>Dr. Limburg serves as Chief Medical Officer</w:t>
      </w:r>
      <w:r w:rsidR="00D61E79">
        <w:t>,</w:t>
      </w:r>
      <w:r w:rsidRPr="001A32A0">
        <w:t xml:space="preserve"> </w:t>
      </w:r>
      <w:r w:rsidR="00D61E79">
        <w:t xml:space="preserve">Screening </w:t>
      </w:r>
      <w:r w:rsidRPr="001A32A0">
        <w:t>for Exact Sciences through a contracted services agreement with Mayo Clinic. Dr. Limburg and Mayo Clinic have contractual rights to receive royalties through this agreement.</w:t>
      </w:r>
    </w:p>
    <w:p w14:paraId="75641FA7" w14:textId="67B00A52" w:rsidR="001A32A0" w:rsidRDefault="001A32A0" w:rsidP="00C0382E">
      <w:pPr>
        <w:tabs>
          <w:tab w:val="left" w:pos="1380"/>
        </w:tabs>
        <w:spacing w:after="0"/>
        <w:rPr>
          <w:b/>
          <w:bCs/>
          <w:sz w:val="20"/>
          <w:szCs w:val="20"/>
        </w:rPr>
      </w:pPr>
    </w:p>
    <w:p w14:paraId="6788D8E2" w14:textId="07F541ED" w:rsidR="00FD6A83" w:rsidRDefault="00FD6A83" w:rsidP="00C0382E">
      <w:pPr>
        <w:tabs>
          <w:tab w:val="left" w:pos="1380"/>
        </w:tabs>
        <w:spacing w:after="0"/>
        <w:rPr>
          <w:b/>
          <w:bCs/>
          <w:sz w:val="20"/>
          <w:szCs w:val="20"/>
        </w:rPr>
      </w:pPr>
    </w:p>
    <w:p w14:paraId="66EEE32F" w14:textId="758E63DA" w:rsidR="00FD6A83" w:rsidRDefault="00FD6A83" w:rsidP="00C0382E">
      <w:pPr>
        <w:tabs>
          <w:tab w:val="left" w:pos="1380"/>
        </w:tabs>
        <w:spacing w:after="0"/>
        <w:rPr>
          <w:b/>
          <w:bCs/>
          <w:sz w:val="20"/>
          <w:szCs w:val="20"/>
        </w:rPr>
      </w:pPr>
    </w:p>
    <w:p w14:paraId="7299A3F8" w14:textId="77777777" w:rsidR="00FD6A83" w:rsidRDefault="00FD6A83" w:rsidP="00C0382E">
      <w:pPr>
        <w:tabs>
          <w:tab w:val="left" w:pos="1380"/>
        </w:tabs>
        <w:spacing w:after="0"/>
        <w:rPr>
          <w:b/>
          <w:bCs/>
          <w:sz w:val="20"/>
          <w:szCs w:val="20"/>
        </w:rPr>
      </w:pPr>
    </w:p>
    <w:p w14:paraId="1F72E0CE" w14:textId="78A2B0BB" w:rsidR="00C0382E" w:rsidRPr="00C0382E" w:rsidRDefault="00C0382E" w:rsidP="00C0382E">
      <w:pPr>
        <w:tabs>
          <w:tab w:val="left" w:pos="1380"/>
        </w:tabs>
        <w:spacing w:after="0"/>
        <w:rPr>
          <w:sz w:val="20"/>
          <w:szCs w:val="20"/>
        </w:rPr>
      </w:pPr>
      <w:r w:rsidRPr="00C0382E">
        <w:rPr>
          <w:b/>
          <w:bCs/>
          <w:sz w:val="20"/>
          <w:szCs w:val="20"/>
        </w:rPr>
        <w:lastRenderedPageBreak/>
        <w:t xml:space="preserve">EXACT SCIENCES CORPORATION </w:t>
      </w:r>
    </w:p>
    <w:p w14:paraId="15271169" w14:textId="77777777" w:rsidR="00C0382E" w:rsidRPr="00C0382E" w:rsidRDefault="00C0382E" w:rsidP="00C0382E">
      <w:pPr>
        <w:tabs>
          <w:tab w:val="left" w:pos="1380"/>
        </w:tabs>
        <w:spacing w:after="0"/>
        <w:rPr>
          <w:sz w:val="20"/>
          <w:szCs w:val="20"/>
        </w:rPr>
      </w:pPr>
      <w:r w:rsidRPr="00C0382E">
        <w:rPr>
          <w:sz w:val="20"/>
          <w:szCs w:val="20"/>
        </w:rPr>
        <w:t xml:space="preserve">5505 Endeavor Lane, Madison, WI 53719 </w:t>
      </w:r>
    </w:p>
    <w:p w14:paraId="16D3A311" w14:textId="77777777" w:rsidR="00C0382E" w:rsidRPr="00C0382E" w:rsidRDefault="00C0382E" w:rsidP="00C0382E">
      <w:pPr>
        <w:tabs>
          <w:tab w:val="left" w:pos="1380"/>
        </w:tabs>
        <w:spacing w:after="0"/>
        <w:rPr>
          <w:sz w:val="20"/>
          <w:szCs w:val="20"/>
        </w:rPr>
      </w:pPr>
      <w:proofErr w:type="gramStart"/>
      <w:r w:rsidRPr="00C0382E">
        <w:rPr>
          <w:sz w:val="20"/>
          <w:szCs w:val="20"/>
        </w:rPr>
        <w:t>ExactSciences.com  |</w:t>
      </w:r>
      <w:proofErr w:type="gramEnd"/>
      <w:r w:rsidRPr="00C0382E">
        <w:rPr>
          <w:sz w:val="20"/>
          <w:szCs w:val="20"/>
        </w:rPr>
        <w:t xml:space="preserve">  ExactLabs.com  |  1-844-870-8870</w:t>
      </w:r>
    </w:p>
    <w:p w14:paraId="50238650" w14:textId="77777777" w:rsidR="00C0382E" w:rsidRPr="00C0382E" w:rsidRDefault="00C0382E" w:rsidP="00C0382E">
      <w:pPr>
        <w:tabs>
          <w:tab w:val="left" w:pos="1380"/>
        </w:tabs>
        <w:spacing w:after="0"/>
        <w:rPr>
          <w:sz w:val="20"/>
          <w:szCs w:val="20"/>
        </w:rPr>
      </w:pPr>
      <w:r w:rsidRPr="00C0382E">
        <w:rPr>
          <w:sz w:val="20"/>
          <w:szCs w:val="20"/>
        </w:rPr>
        <w:t xml:space="preserve">Cologuard is a registered trademark of Exact Sciences Corporation. </w:t>
      </w:r>
    </w:p>
    <w:p w14:paraId="7DE47B4F" w14:textId="069394CE" w:rsidR="00C0382E" w:rsidRPr="00C0382E" w:rsidRDefault="00C0382E" w:rsidP="00C0382E">
      <w:pPr>
        <w:tabs>
          <w:tab w:val="left" w:pos="1380"/>
        </w:tabs>
        <w:spacing w:after="0"/>
        <w:rPr>
          <w:sz w:val="20"/>
          <w:szCs w:val="20"/>
        </w:rPr>
      </w:pPr>
      <w:r w:rsidRPr="00C0382E">
        <w:rPr>
          <w:sz w:val="20"/>
          <w:szCs w:val="20"/>
        </w:rPr>
        <w:t>©2021 Exact Sciences Corporation. All rights reserved. US.CG.4</w:t>
      </w:r>
      <w:r w:rsidR="00F15ECE">
        <w:rPr>
          <w:sz w:val="20"/>
          <w:szCs w:val="20"/>
        </w:rPr>
        <w:t>863</w:t>
      </w:r>
      <w:r w:rsidRPr="00C0382E">
        <w:rPr>
          <w:sz w:val="20"/>
          <w:szCs w:val="20"/>
        </w:rPr>
        <w:t>-</w:t>
      </w:r>
      <w:r w:rsidR="00F15ECE">
        <w:rPr>
          <w:sz w:val="20"/>
          <w:szCs w:val="20"/>
        </w:rPr>
        <w:t>2</w:t>
      </w:r>
      <w:r w:rsidRPr="00C0382E">
        <w:rPr>
          <w:sz w:val="20"/>
          <w:szCs w:val="20"/>
        </w:rPr>
        <w:t>-</w:t>
      </w:r>
      <w:r w:rsidR="00F15ECE">
        <w:rPr>
          <w:sz w:val="20"/>
          <w:szCs w:val="20"/>
        </w:rPr>
        <w:t>June</w:t>
      </w:r>
      <w:r w:rsidRPr="00C0382E">
        <w:rPr>
          <w:sz w:val="20"/>
          <w:szCs w:val="20"/>
        </w:rPr>
        <w:t xml:space="preserve"> 2021  </w:t>
      </w:r>
    </w:p>
    <w:p w14:paraId="74176AAA" w14:textId="77777777" w:rsidR="00C0382E" w:rsidRPr="0018784E" w:rsidRDefault="00C0382E" w:rsidP="0018784E">
      <w:pPr>
        <w:tabs>
          <w:tab w:val="left" w:pos="1380"/>
        </w:tabs>
      </w:pPr>
    </w:p>
    <w:sectPr w:rsidR="00C0382E" w:rsidRPr="001878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F5D8" w14:textId="77777777" w:rsidR="00181469" w:rsidRDefault="00181469" w:rsidP="00F90102">
      <w:pPr>
        <w:spacing w:after="0" w:line="240" w:lineRule="auto"/>
      </w:pPr>
      <w:r>
        <w:separator/>
      </w:r>
    </w:p>
  </w:endnote>
  <w:endnote w:type="continuationSeparator" w:id="0">
    <w:p w14:paraId="2F62B762" w14:textId="77777777" w:rsidR="00181469" w:rsidRDefault="00181469" w:rsidP="00F9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F6D8" w14:textId="0215EF1B" w:rsidR="00F90102" w:rsidRDefault="00F90102">
    <w:pPr>
      <w:pStyle w:val="Footer"/>
    </w:pPr>
  </w:p>
  <w:p w14:paraId="5B3430B4" w14:textId="77777777" w:rsidR="00F90102" w:rsidRDefault="00F9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E38D" w14:textId="77777777" w:rsidR="00181469" w:rsidRDefault="00181469" w:rsidP="00F90102">
      <w:pPr>
        <w:spacing w:after="0" w:line="240" w:lineRule="auto"/>
      </w:pPr>
      <w:r>
        <w:separator/>
      </w:r>
    </w:p>
  </w:footnote>
  <w:footnote w:type="continuationSeparator" w:id="0">
    <w:p w14:paraId="5B8C4A5A" w14:textId="77777777" w:rsidR="00181469" w:rsidRDefault="00181469" w:rsidP="00F90102">
      <w:pPr>
        <w:spacing w:after="0" w:line="240" w:lineRule="auto"/>
      </w:pPr>
      <w:r>
        <w:continuationSeparator/>
      </w:r>
    </w:p>
  </w:footnote>
  <w:footnote w:id="1">
    <w:p w14:paraId="0BECD9E5" w14:textId="40C1B4F2" w:rsidR="00AD667E" w:rsidRPr="008A24CD" w:rsidRDefault="00AD667E">
      <w:pPr>
        <w:pStyle w:val="FootnoteText"/>
        <w:rPr>
          <w:sz w:val="18"/>
          <w:szCs w:val="18"/>
        </w:rPr>
      </w:pPr>
      <w:r w:rsidRPr="008A24CD">
        <w:rPr>
          <w:sz w:val="18"/>
          <w:szCs w:val="18"/>
        </w:rPr>
        <w:t>References:</w:t>
      </w:r>
    </w:p>
    <w:p w14:paraId="42CFBA11" w14:textId="029AE917" w:rsidR="00AD667E" w:rsidRPr="008A24CD" w:rsidRDefault="00AD667E">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Itzkowitz</w:t>
      </w:r>
      <w:proofErr w:type="spellEnd"/>
      <w:r w:rsidRPr="008A24CD">
        <w:rPr>
          <w:sz w:val="18"/>
          <w:szCs w:val="18"/>
        </w:rPr>
        <w:t xml:space="preserve"> SH. Incremental advances in excremental cancer detection tests. </w:t>
      </w:r>
      <w:r w:rsidRPr="008A24CD">
        <w:rPr>
          <w:i/>
          <w:iCs/>
          <w:sz w:val="18"/>
          <w:szCs w:val="18"/>
        </w:rPr>
        <w:t>J Natl Cancer Inst.</w:t>
      </w:r>
      <w:r w:rsidRPr="008A24CD">
        <w:rPr>
          <w:sz w:val="18"/>
          <w:szCs w:val="18"/>
        </w:rPr>
        <w:t xml:space="preserve"> 2009;101(18):1225-1227.</w:t>
      </w:r>
    </w:p>
  </w:footnote>
  <w:footnote w:id="2">
    <w:p w14:paraId="2E39608D" w14:textId="27905FBC" w:rsidR="00AD667E" w:rsidRPr="008A24CD" w:rsidRDefault="00AD667E">
      <w:pPr>
        <w:pStyle w:val="FootnoteText"/>
        <w:rPr>
          <w:sz w:val="18"/>
          <w:szCs w:val="18"/>
        </w:rPr>
      </w:pPr>
      <w:r w:rsidRPr="008A24CD">
        <w:rPr>
          <w:rStyle w:val="FootnoteReference"/>
          <w:sz w:val="18"/>
          <w:szCs w:val="18"/>
        </w:rPr>
        <w:footnoteRef/>
      </w:r>
      <w:r w:rsidRPr="008A24CD">
        <w:rPr>
          <w:sz w:val="18"/>
          <w:szCs w:val="18"/>
        </w:rPr>
        <w:t xml:space="preserve"> ACS. Colorectal cancer facts and figures 2020-2022. Atlanta: American Cancer Society; 2020.</w:t>
      </w:r>
    </w:p>
  </w:footnote>
  <w:footnote w:id="3">
    <w:p w14:paraId="37BEBDCE" w14:textId="12B9560D" w:rsidR="00AD667E" w:rsidRPr="008A24CD" w:rsidRDefault="00AD667E">
      <w:pPr>
        <w:pStyle w:val="FootnoteText"/>
        <w:rPr>
          <w:sz w:val="18"/>
          <w:szCs w:val="18"/>
        </w:rPr>
      </w:pPr>
      <w:r w:rsidRPr="008A24CD">
        <w:rPr>
          <w:rStyle w:val="FootnoteReference"/>
          <w:sz w:val="18"/>
          <w:szCs w:val="18"/>
        </w:rPr>
        <w:footnoteRef/>
      </w:r>
      <w:r w:rsidRPr="008A24CD">
        <w:rPr>
          <w:sz w:val="18"/>
          <w:szCs w:val="18"/>
        </w:rPr>
        <w:t xml:space="preserve"> Siegel RL, Miller KD, Fuchs HE, Jemal A. Cancer Statistics, 2021. </w:t>
      </w:r>
      <w:r w:rsidRPr="008A24CD">
        <w:rPr>
          <w:i/>
          <w:iCs/>
          <w:sz w:val="18"/>
          <w:szCs w:val="18"/>
        </w:rPr>
        <w:t xml:space="preserve">CA Cancer J Clin. </w:t>
      </w:r>
      <w:r w:rsidRPr="008A24CD">
        <w:rPr>
          <w:sz w:val="18"/>
          <w:szCs w:val="18"/>
        </w:rPr>
        <w:t>2021;71(1):7-33. doi:10.3322/caac.</w:t>
      </w:r>
      <w:proofErr w:type="gramStart"/>
      <w:r w:rsidRPr="008A24CD">
        <w:rPr>
          <w:sz w:val="18"/>
          <w:szCs w:val="18"/>
        </w:rPr>
        <w:t>21654 .</w:t>
      </w:r>
      <w:proofErr w:type="gramEnd"/>
    </w:p>
  </w:footnote>
  <w:footnote w:id="4">
    <w:p w14:paraId="61FACC1E" w14:textId="2BA8104A" w:rsidR="00AD667E" w:rsidRPr="008A24CD" w:rsidRDefault="00AD667E">
      <w:pPr>
        <w:pStyle w:val="FootnoteText"/>
        <w:rPr>
          <w:sz w:val="18"/>
          <w:szCs w:val="18"/>
        </w:rPr>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10.1001/jama.2021.6238</w:t>
      </w:r>
    </w:p>
    <w:p w14:paraId="6985BD93" w14:textId="19C6C12E" w:rsidR="00AD667E" w:rsidRPr="008A24CD" w:rsidRDefault="00AD667E">
      <w:pPr>
        <w:pStyle w:val="FootnoteText"/>
        <w:rPr>
          <w:sz w:val="18"/>
          <w:szCs w:val="18"/>
        </w:rPr>
      </w:pPr>
      <w:r w:rsidRPr="008A24CD">
        <w:rPr>
          <w:sz w:val="18"/>
          <w:szCs w:val="18"/>
          <w:vertAlign w:val="superscript"/>
        </w:rPr>
        <w:t>5</w:t>
      </w:r>
      <w:r w:rsidRPr="008A24CD">
        <w:rPr>
          <w:sz w:val="18"/>
          <w:szCs w:val="18"/>
        </w:rPr>
        <w:t xml:space="preserve"> U.S. Preventive Services Task Force. U.S. Preventive Services Task Force Procedure Manual. May 2021. https://uspreventiveservicestaskforce.org/uspstf/sites/default/files/inline-files/procedure-manual-2021_0.pdf</w:t>
      </w:r>
    </w:p>
    <w:p w14:paraId="64C2F993" w14:textId="77777777" w:rsidR="00AD667E" w:rsidRPr="008A24CD" w:rsidRDefault="00AD667E">
      <w:pPr>
        <w:pStyle w:val="FootnoteText"/>
        <w:rPr>
          <w:sz w:val="18"/>
          <w:szCs w:val="18"/>
        </w:rPr>
      </w:pPr>
    </w:p>
    <w:p w14:paraId="0FFC1ED2" w14:textId="77777777" w:rsidR="00AD667E" w:rsidRPr="008A24CD" w:rsidRDefault="00AD667E" w:rsidP="00AD667E">
      <w:pPr>
        <w:pStyle w:val="FootnoteText"/>
        <w:rPr>
          <w:sz w:val="18"/>
          <w:szCs w:val="18"/>
        </w:rPr>
      </w:pPr>
      <w:r w:rsidRPr="008A24CD">
        <w:rPr>
          <w:sz w:val="18"/>
          <w:szCs w:val="18"/>
        </w:rPr>
        <w:t>Footnote:</w:t>
      </w:r>
    </w:p>
    <w:p w14:paraId="56371270" w14:textId="77777777" w:rsidR="00AD667E" w:rsidRPr="008A24CD" w:rsidRDefault="00AD667E" w:rsidP="00AD667E">
      <w:pPr>
        <w:pStyle w:val="FootnoteText"/>
        <w:rPr>
          <w:sz w:val="18"/>
          <w:szCs w:val="18"/>
        </w:rPr>
      </w:pPr>
      <w:r w:rsidRPr="008A24CD">
        <w:rPr>
          <w:sz w:val="18"/>
          <w:szCs w:val="18"/>
        </w:rPr>
        <w:t xml:space="preserve">*Up-to-date defined as FOBT/FIT, sigmoidoscopy, colonoscopy, computed tomographic colonography (CTC), or sDNA test in the past 1, 5, 10, 5 and 3 years, respectively. </w:t>
      </w:r>
    </w:p>
    <w:p w14:paraId="19CB3CB7" w14:textId="77777777" w:rsidR="00AD667E" w:rsidRPr="008A24CD" w:rsidRDefault="00AD667E" w:rsidP="00AD667E">
      <w:pPr>
        <w:pStyle w:val="FootnoteText"/>
        <w:rPr>
          <w:sz w:val="18"/>
          <w:szCs w:val="18"/>
        </w:rPr>
      </w:pPr>
      <w:r w:rsidRPr="008A24CD">
        <w:rPr>
          <w:sz w:val="18"/>
          <w:szCs w:val="18"/>
        </w:rPr>
        <w:t>† Source: National Health Interview Survey, 2018</w:t>
      </w:r>
    </w:p>
    <w:p w14:paraId="3E9B13B8" w14:textId="68EB593A" w:rsidR="00AD667E" w:rsidRDefault="00AD667E">
      <w:pPr>
        <w:pStyle w:val="FootnoteText"/>
      </w:pPr>
    </w:p>
    <w:p w14:paraId="27CAEC93" w14:textId="2EE28976" w:rsidR="008A24CD" w:rsidRDefault="008A24CD">
      <w:pPr>
        <w:pStyle w:val="FootnoteText"/>
      </w:pPr>
    </w:p>
    <w:p w14:paraId="43C04756" w14:textId="77777777" w:rsidR="008A24CD" w:rsidRDefault="008A24CD">
      <w:pPr>
        <w:pStyle w:val="FootnoteText"/>
      </w:pPr>
    </w:p>
  </w:footnote>
  <w:footnote w:id="5">
    <w:p w14:paraId="62127BDF" w14:textId="2646BBAF" w:rsidR="00AD667E" w:rsidRDefault="00AD667E">
      <w:pPr>
        <w:pStyle w:val="FootnoteText"/>
      </w:pPr>
    </w:p>
  </w:footnote>
  <w:footnote w:id="6">
    <w:p w14:paraId="1553A344" w14:textId="557C86E6" w:rsidR="00C0382E" w:rsidRPr="008A24CD" w:rsidRDefault="00C0382E">
      <w:pPr>
        <w:pStyle w:val="FootnoteText"/>
        <w:rPr>
          <w:sz w:val="18"/>
          <w:szCs w:val="18"/>
        </w:rPr>
      </w:pPr>
      <w:r w:rsidRPr="008A24CD">
        <w:rPr>
          <w:sz w:val="18"/>
          <w:szCs w:val="18"/>
        </w:rPr>
        <w:t>References:</w:t>
      </w:r>
    </w:p>
    <w:p w14:paraId="5071D413" w14:textId="20200533" w:rsidR="00C0382E" w:rsidRPr="008A24CD" w:rsidRDefault="00C0382E">
      <w:pPr>
        <w:pStyle w:val="FootnoteText"/>
        <w:rPr>
          <w:sz w:val="18"/>
          <w:szCs w:val="18"/>
        </w:rPr>
      </w:pPr>
      <w:r w:rsidRPr="008A24CD">
        <w:rPr>
          <w:rStyle w:val="FootnoteReference"/>
          <w:sz w:val="18"/>
          <w:szCs w:val="18"/>
        </w:rPr>
        <w:footnoteRef/>
      </w:r>
      <w:r w:rsidRPr="008A24CD">
        <w:rPr>
          <w:sz w:val="18"/>
          <w:szCs w:val="18"/>
        </w:rPr>
        <w:t xml:space="preserve"> U.S. Preventive Services Task Force. U.S. Preventive Services Task Force Procedure Manual. May 2021. https://uspreventiveservicestaskforce.org/uspstf/sites/default/files/inline-files/procedure-manual-2021_0.pdf</w:t>
      </w:r>
    </w:p>
  </w:footnote>
  <w:footnote w:id="7">
    <w:p w14:paraId="7490FBFA" w14:textId="547EDB56" w:rsidR="006A4FF6" w:rsidRPr="008A24CD" w:rsidRDefault="006A4FF6">
      <w:pPr>
        <w:pStyle w:val="FootnoteText"/>
        <w:rPr>
          <w:sz w:val="18"/>
          <w:szCs w:val="18"/>
        </w:rPr>
      </w:pPr>
      <w:r w:rsidRPr="008A24CD">
        <w:rPr>
          <w:rStyle w:val="FootnoteReference"/>
          <w:sz w:val="18"/>
          <w:szCs w:val="18"/>
        </w:rPr>
        <w:footnoteRef/>
      </w:r>
      <w:r w:rsidRPr="008A24CD">
        <w:rPr>
          <w:sz w:val="18"/>
          <w:szCs w:val="18"/>
        </w:rPr>
        <w:t xml:space="preserve"> USPSTF Grade Definitions https://www.uspreventiveservicestaskforce.org/uspsft/about-uspstf/methods-and-processes/grade-definitions#july2012 Accessed March 16, 2021</w:t>
      </w:r>
    </w:p>
  </w:footnote>
  <w:footnote w:id="8">
    <w:p w14:paraId="02D8910D" w14:textId="46D4E610" w:rsidR="006A4FF6" w:rsidRPr="008A24CD" w:rsidRDefault="006A4FF6">
      <w:pPr>
        <w:pStyle w:val="FootnoteText"/>
        <w:rPr>
          <w:sz w:val="18"/>
          <w:szCs w:val="18"/>
        </w:rPr>
      </w:pPr>
      <w:r w:rsidRPr="008A24CD">
        <w:rPr>
          <w:rStyle w:val="FootnoteReference"/>
          <w:sz w:val="18"/>
          <w:szCs w:val="18"/>
        </w:rPr>
        <w:footnoteRef/>
      </w:r>
      <w:r w:rsidRPr="008A24CD">
        <w:rPr>
          <w:sz w:val="18"/>
          <w:szCs w:val="18"/>
        </w:rPr>
        <w:t xml:space="preserve"> U.S. Preventive Services Task Force. U.S. Preventive Services Task Force Procedure Manual. Updated May 2021. Accessed May 20, 2021 https://www.uspreventiveservicestaskforce.org/uspstf/sites/default/files/inline- files/procedure-manual-2021_0.pdf.</w:t>
      </w:r>
    </w:p>
  </w:footnote>
  <w:footnote w:id="9">
    <w:p w14:paraId="1D127CE3" w14:textId="425DC906" w:rsidR="006A4FF6" w:rsidRPr="008A24CD" w:rsidRDefault="006A4FF6">
      <w:pPr>
        <w:pStyle w:val="FootnoteText"/>
        <w:rPr>
          <w:sz w:val="18"/>
          <w:szCs w:val="18"/>
        </w:rPr>
      </w:pPr>
      <w:r w:rsidRPr="008A24CD">
        <w:rPr>
          <w:rStyle w:val="FootnoteReference"/>
          <w:sz w:val="18"/>
          <w:szCs w:val="18"/>
        </w:rPr>
        <w:footnoteRef/>
      </w:r>
      <w:r w:rsidRPr="008A24CD">
        <w:rPr>
          <w:sz w:val="18"/>
          <w:szCs w:val="18"/>
        </w:rPr>
        <w:t xml:space="preserve"> USPSTF: Who We Are and How We Work Accessed March 29, 2021. </w:t>
      </w:r>
      <w:proofErr w:type="gramStart"/>
      <w:r w:rsidRPr="008A24CD">
        <w:rPr>
          <w:sz w:val="18"/>
          <w:szCs w:val="18"/>
        </w:rPr>
        <w:t>https://www.uspreventiveservicestaskforce.org/uspstf/sites/default/files/inline-files/uspstf-briefing-packet-20118.pdf  p.6</w:t>
      </w:r>
      <w:proofErr w:type="gramEnd"/>
      <w:r w:rsidRPr="008A24CD">
        <w:rPr>
          <w:sz w:val="18"/>
          <w:szCs w:val="18"/>
        </w:rPr>
        <w:t> </w:t>
      </w:r>
    </w:p>
  </w:footnote>
  <w:footnote w:id="10">
    <w:p w14:paraId="20253408" w14:textId="0494F3C4" w:rsidR="006A4FF6" w:rsidRDefault="006A4FF6">
      <w:pPr>
        <w:pStyle w:val="FootnoteText"/>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10.1001/jama.2021.6238</w:t>
      </w:r>
    </w:p>
  </w:footnote>
  <w:footnote w:id="11">
    <w:p w14:paraId="6231E5B4" w14:textId="794CFF2A" w:rsidR="00334F28" w:rsidRPr="008A24CD" w:rsidRDefault="00334F28" w:rsidP="006A4FF6">
      <w:pPr>
        <w:pStyle w:val="FootnoteText"/>
        <w:rPr>
          <w:sz w:val="18"/>
          <w:szCs w:val="18"/>
        </w:rPr>
      </w:pPr>
      <w:r w:rsidRPr="008A24CD">
        <w:rPr>
          <w:sz w:val="18"/>
          <w:szCs w:val="18"/>
        </w:rPr>
        <w:t>References:</w:t>
      </w:r>
    </w:p>
    <w:p w14:paraId="12AB8774" w14:textId="447BF34F" w:rsidR="006A4FF6" w:rsidRPr="008A24CD" w:rsidRDefault="006A4FF6" w:rsidP="006A4FF6">
      <w:pPr>
        <w:pStyle w:val="FootnoteText"/>
        <w:rPr>
          <w:sz w:val="18"/>
          <w:szCs w:val="18"/>
        </w:rPr>
      </w:pPr>
      <w:r w:rsidRPr="008A24CD">
        <w:rPr>
          <w:rStyle w:val="FootnoteReference"/>
          <w:sz w:val="18"/>
          <w:szCs w:val="18"/>
        </w:rPr>
        <w:footnoteRef/>
      </w:r>
      <w:r w:rsidRPr="008A24CD">
        <w:rPr>
          <w:sz w:val="18"/>
          <w:szCs w:val="18"/>
        </w:rPr>
        <w:t xml:space="preserve"> Wolf AMD, </w:t>
      </w:r>
      <w:proofErr w:type="spellStart"/>
      <w:r w:rsidRPr="008A24CD">
        <w:rPr>
          <w:sz w:val="18"/>
          <w:szCs w:val="18"/>
        </w:rPr>
        <w:t>Fontham</w:t>
      </w:r>
      <w:proofErr w:type="spellEnd"/>
      <w:r w:rsidRPr="008A24CD">
        <w:rPr>
          <w:sz w:val="18"/>
          <w:szCs w:val="18"/>
        </w:rPr>
        <w:t xml:space="preserve"> ETH, Church TR, et al. Colorectal cancer screening for average-risk adults: 2018 guideline update from the American Cancer Society. </w:t>
      </w:r>
      <w:r w:rsidRPr="008A24CD">
        <w:rPr>
          <w:i/>
          <w:iCs/>
          <w:sz w:val="18"/>
          <w:szCs w:val="18"/>
        </w:rPr>
        <w:t>CA Cancer J Clin</w:t>
      </w:r>
      <w:r w:rsidRPr="008A24CD">
        <w:rPr>
          <w:sz w:val="18"/>
          <w:szCs w:val="18"/>
        </w:rPr>
        <w:t xml:space="preserve">. 2018;68(4):250-281. doi:10.3322/caac.21457 </w:t>
      </w:r>
    </w:p>
  </w:footnote>
  <w:footnote w:id="12">
    <w:p w14:paraId="72654999" w14:textId="0D3FC838" w:rsidR="006A4FF6" w:rsidRPr="008A24CD" w:rsidRDefault="006A4FF6">
      <w:pPr>
        <w:pStyle w:val="FootnoteText"/>
        <w:rPr>
          <w:sz w:val="18"/>
          <w:szCs w:val="18"/>
        </w:rPr>
      </w:pPr>
      <w:r w:rsidRPr="008A24CD">
        <w:rPr>
          <w:rStyle w:val="FootnoteReference"/>
          <w:sz w:val="18"/>
          <w:szCs w:val="18"/>
        </w:rPr>
        <w:footnoteRef/>
      </w:r>
      <w:r w:rsidRPr="008A24CD">
        <w:rPr>
          <w:sz w:val="18"/>
          <w:szCs w:val="18"/>
        </w:rPr>
        <w:t xml:space="preserve"> National Comprehensive Cancer Network. Clinical practice guidelines in oncology - colorectal cancer screening. Version 2.2021. Updated April 13, 2021. Accessed April 19, 2021.</w:t>
      </w:r>
    </w:p>
  </w:footnote>
  <w:footnote w:id="13">
    <w:p w14:paraId="0A294219" w14:textId="270FD58B" w:rsidR="006A4FF6" w:rsidRPr="008A24CD" w:rsidRDefault="006A4FF6">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Virostko</w:t>
      </w:r>
      <w:proofErr w:type="spellEnd"/>
      <w:r w:rsidRPr="008A24CD">
        <w:rPr>
          <w:sz w:val="18"/>
          <w:szCs w:val="18"/>
        </w:rPr>
        <w:t xml:space="preserve"> J, </w:t>
      </w:r>
      <w:proofErr w:type="spellStart"/>
      <w:r w:rsidRPr="008A24CD">
        <w:rPr>
          <w:sz w:val="18"/>
          <w:szCs w:val="18"/>
        </w:rPr>
        <w:t>Capasso</w:t>
      </w:r>
      <w:proofErr w:type="spellEnd"/>
      <w:r w:rsidRPr="008A24CD">
        <w:rPr>
          <w:sz w:val="18"/>
          <w:szCs w:val="18"/>
        </w:rPr>
        <w:t xml:space="preserve"> A, </w:t>
      </w:r>
      <w:proofErr w:type="spellStart"/>
      <w:r w:rsidRPr="008A24CD">
        <w:rPr>
          <w:sz w:val="18"/>
          <w:szCs w:val="18"/>
        </w:rPr>
        <w:t>Yankeelov</w:t>
      </w:r>
      <w:proofErr w:type="spellEnd"/>
      <w:r w:rsidRPr="008A24CD">
        <w:rPr>
          <w:sz w:val="18"/>
          <w:szCs w:val="18"/>
        </w:rPr>
        <w:t xml:space="preserve"> TE, Goodgame B. Recent trends in the age at diagnosis of colorectal cancer in the US National Cancer Data Base, 2004-2015. Cancer. 2019;125(21):3828-3835. </w:t>
      </w:r>
    </w:p>
  </w:footnote>
  <w:footnote w:id="14">
    <w:p w14:paraId="6C47E77A" w14:textId="5A0298D6" w:rsidR="00325073" w:rsidRPr="008A24CD" w:rsidRDefault="00325073">
      <w:pPr>
        <w:pStyle w:val="FootnoteText"/>
        <w:rPr>
          <w:sz w:val="18"/>
          <w:szCs w:val="18"/>
        </w:rPr>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10.1001/jama.2021.6238</w:t>
      </w:r>
    </w:p>
  </w:footnote>
  <w:footnote w:id="15">
    <w:p w14:paraId="2E7873A6" w14:textId="1E87FD5B" w:rsidR="00325073" w:rsidRPr="008A24CD" w:rsidRDefault="00325073">
      <w:pPr>
        <w:pStyle w:val="FootnoteText"/>
        <w:rPr>
          <w:sz w:val="18"/>
          <w:szCs w:val="18"/>
        </w:rPr>
      </w:pPr>
      <w:r w:rsidRPr="008A24CD">
        <w:rPr>
          <w:rStyle w:val="FootnoteReference"/>
          <w:sz w:val="18"/>
          <w:szCs w:val="18"/>
        </w:rPr>
        <w:footnoteRef/>
      </w:r>
      <w:r w:rsidRPr="008A24CD">
        <w:rPr>
          <w:sz w:val="18"/>
          <w:szCs w:val="18"/>
        </w:rPr>
        <w:t xml:space="preserve"> Wolf AMD, </w:t>
      </w:r>
      <w:proofErr w:type="spellStart"/>
      <w:r w:rsidRPr="008A24CD">
        <w:rPr>
          <w:sz w:val="18"/>
          <w:szCs w:val="18"/>
        </w:rPr>
        <w:t>Fontham</w:t>
      </w:r>
      <w:proofErr w:type="spellEnd"/>
      <w:r w:rsidRPr="008A24CD">
        <w:rPr>
          <w:sz w:val="18"/>
          <w:szCs w:val="18"/>
        </w:rPr>
        <w:t xml:space="preserve"> ETH, Church TR, et al. Colorectal cancer screening for average-risk adults: 2018 guideline update from the American Cancer Society. </w:t>
      </w:r>
      <w:r w:rsidRPr="008A24CD">
        <w:rPr>
          <w:i/>
          <w:iCs/>
          <w:sz w:val="18"/>
          <w:szCs w:val="18"/>
        </w:rPr>
        <w:t xml:space="preserve">CA Cancer J Clin. </w:t>
      </w:r>
      <w:r w:rsidRPr="008A24CD">
        <w:rPr>
          <w:sz w:val="18"/>
          <w:szCs w:val="18"/>
        </w:rPr>
        <w:t>2018;68(4):250-281. doi:10.3322/caac.21457</w:t>
      </w:r>
    </w:p>
  </w:footnote>
  <w:footnote w:id="16">
    <w:p w14:paraId="1ACE7F1C" w14:textId="61D2760F" w:rsidR="00325073" w:rsidRPr="008A24CD" w:rsidRDefault="00325073">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Virostko</w:t>
      </w:r>
      <w:proofErr w:type="spellEnd"/>
      <w:r w:rsidRPr="008A24CD">
        <w:rPr>
          <w:sz w:val="18"/>
          <w:szCs w:val="18"/>
        </w:rPr>
        <w:t xml:space="preserve"> J, </w:t>
      </w:r>
      <w:proofErr w:type="spellStart"/>
      <w:r w:rsidRPr="008A24CD">
        <w:rPr>
          <w:sz w:val="18"/>
          <w:szCs w:val="18"/>
        </w:rPr>
        <w:t>Capasso</w:t>
      </w:r>
      <w:proofErr w:type="spellEnd"/>
      <w:r w:rsidRPr="008A24CD">
        <w:rPr>
          <w:sz w:val="18"/>
          <w:szCs w:val="18"/>
        </w:rPr>
        <w:t xml:space="preserve"> A, </w:t>
      </w:r>
      <w:proofErr w:type="spellStart"/>
      <w:r w:rsidRPr="008A24CD">
        <w:rPr>
          <w:sz w:val="18"/>
          <w:szCs w:val="18"/>
        </w:rPr>
        <w:t>Yankeelov</w:t>
      </w:r>
      <w:proofErr w:type="spellEnd"/>
      <w:r w:rsidRPr="008A24CD">
        <w:rPr>
          <w:sz w:val="18"/>
          <w:szCs w:val="18"/>
        </w:rPr>
        <w:t xml:space="preserve"> TE, Goodgame B. Recent trends in the age at diagnosis of colorectal cancer in the US National Cancer Data Base, 2004-2015. Cancer. 2019;125(21):3828-3835.</w:t>
      </w:r>
    </w:p>
  </w:footnote>
  <w:footnote w:id="17">
    <w:p w14:paraId="6161FAC3" w14:textId="2CB81F00" w:rsidR="00325073" w:rsidRPr="008A24CD" w:rsidRDefault="00325073">
      <w:pPr>
        <w:pStyle w:val="FootnoteText"/>
        <w:rPr>
          <w:sz w:val="18"/>
          <w:szCs w:val="18"/>
        </w:rPr>
      </w:pPr>
      <w:r w:rsidRPr="008A24CD">
        <w:rPr>
          <w:rStyle w:val="FootnoteReference"/>
          <w:sz w:val="18"/>
          <w:szCs w:val="18"/>
        </w:rPr>
        <w:footnoteRef/>
      </w:r>
      <w:r w:rsidRPr="008A24CD">
        <w:rPr>
          <w:sz w:val="18"/>
          <w:szCs w:val="18"/>
        </w:rPr>
        <w:t xml:space="preserve"> Siegel RL, Miller KD, Fuchs HE, Jemal A. Cancer Statistics, 2021. </w:t>
      </w:r>
      <w:r w:rsidRPr="008A24CD">
        <w:rPr>
          <w:i/>
          <w:iCs/>
          <w:sz w:val="18"/>
          <w:szCs w:val="18"/>
        </w:rPr>
        <w:t xml:space="preserve">CA Cancer J Clin. </w:t>
      </w:r>
      <w:r w:rsidRPr="008A24CD">
        <w:rPr>
          <w:sz w:val="18"/>
          <w:szCs w:val="18"/>
        </w:rPr>
        <w:t>2021;71(1):7-33. doi:10.3322/caac.21654</w:t>
      </w:r>
    </w:p>
  </w:footnote>
  <w:footnote w:id="18">
    <w:p w14:paraId="6BA9CC63" w14:textId="3F59F56C" w:rsidR="00325073" w:rsidRPr="008A24CD" w:rsidRDefault="00325073">
      <w:pPr>
        <w:pStyle w:val="FootnoteText"/>
        <w:rPr>
          <w:sz w:val="18"/>
          <w:szCs w:val="18"/>
        </w:rPr>
      </w:pPr>
      <w:r w:rsidRPr="008A24CD">
        <w:rPr>
          <w:rStyle w:val="FootnoteReference"/>
          <w:sz w:val="18"/>
          <w:szCs w:val="18"/>
        </w:rPr>
        <w:footnoteRef/>
      </w:r>
      <w:r w:rsidRPr="008A24CD">
        <w:rPr>
          <w:sz w:val="18"/>
          <w:szCs w:val="18"/>
        </w:rPr>
        <w:t xml:space="preserve"> Rex DK, et al. Colorectal cancer screening: recommendations for physicians and patients from the U.S. Multi-society task force on colorectal cancer. </w:t>
      </w:r>
      <w:r w:rsidRPr="008A24CD">
        <w:rPr>
          <w:i/>
          <w:iCs/>
          <w:sz w:val="18"/>
          <w:szCs w:val="18"/>
        </w:rPr>
        <w:t xml:space="preserve">Am J Gastroenterol. </w:t>
      </w:r>
      <w:r w:rsidRPr="008A24CD">
        <w:rPr>
          <w:sz w:val="18"/>
          <w:szCs w:val="18"/>
        </w:rPr>
        <w:t xml:space="preserve">2017;112(7):1016-1030. </w:t>
      </w:r>
      <w:proofErr w:type="spellStart"/>
      <w:r w:rsidRPr="008A24CD">
        <w:rPr>
          <w:sz w:val="18"/>
          <w:szCs w:val="18"/>
        </w:rPr>
        <w:t>doi</w:t>
      </w:r>
      <w:proofErr w:type="spellEnd"/>
      <w:r w:rsidRPr="008A24CD">
        <w:rPr>
          <w:sz w:val="18"/>
          <w:szCs w:val="18"/>
        </w:rPr>
        <w:t xml:space="preserve">: 10.1038/ajg.2017.174. </w:t>
      </w:r>
    </w:p>
  </w:footnote>
  <w:footnote w:id="19">
    <w:p w14:paraId="3814B8B9" w14:textId="5630DB32" w:rsidR="00325073" w:rsidRPr="008A24CD" w:rsidRDefault="00325073" w:rsidP="00325073">
      <w:pPr>
        <w:pStyle w:val="FootnoteText"/>
        <w:rPr>
          <w:sz w:val="18"/>
          <w:szCs w:val="18"/>
        </w:rPr>
      </w:pPr>
      <w:r w:rsidRPr="008A24CD">
        <w:rPr>
          <w:rStyle w:val="FootnoteReference"/>
          <w:sz w:val="18"/>
          <w:szCs w:val="18"/>
        </w:rPr>
        <w:footnoteRef/>
      </w:r>
      <w:r w:rsidRPr="008A24CD">
        <w:rPr>
          <w:sz w:val="18"/>
          <w:szCs w:val="18"/>
        </w:rPr>
        <w:t xml:space="preserve"> National Cancer Institute. Cancer stat facts: Colorectal cancer. Accessed May 20, 2021. https://seer.cancer.gov/statfacts/html/colorect.html </w:t>
      </w:r>
    </w:p>
    <w:p w14:paraId="2B55EECC" w14:textId="77777777" w:rsidR="001173A7" w:rsidRPr="008A24CD" w:rsidRDefault="001173A7" w:rsidP="00325073">
      <w:pPr>
        <w:pStyle w:val="FootnoteText"/>
        <w:rPr>
          <w:sz w:val="18"/>
          <w:szCs w:val="18"/>
        </w:rPr>
      </w:pPr>
    </w:p>
    <w:p w14:paraId="5D3AD88C" w14:textId="77777777" w:rsidR="001173A7" w:rsidRPr="008A24CD" w:rsidRDefault="001173A7" w:rsidP="001173A7">
      <w:pPr>
        <w:pStyle w:val="FootnoteText"/>
        <w:rPr>
          <w:sz w:val="18"/>
          <w:szCs w:val="18"/>
        </w:rPr>
      </w:pPr>
      <w:r w:rsidRPr="008A24CD">
        <w:rPr>
          <w:sz w:val="18"/>
          <w:szCs w:val="18"/>
        </w:rPr>
        <w:t xml:space="preserve">Footnote: </w:t>
      </w:r>
    </w:p>
    <w:p w14:paraId="35926859" w14:textId="77777777" w:rsidR="001173A7" w:rsidRPr="008A24CD" w:rsidRDefault="001173A7" w:rsidP="001173A7">
      <w:pPr>
        <w:pStyle w:val="FootnoteText"/>
        <w:rPr>
          <w:sz w:val="18"/>
          <w:szCs w:val="18"/>
        </w:rPr>
      </w:pPr>
      <w:r w:rsidRPr="008A24CD">
        <w:rPr>
          <w:b/>
          <w:bCs/>
          <w:sz w:val="18"/>
          <w:szCs w:val="18"/>
        </w:rPr>
        <w:t>*</w:t>
      </w:r>
      <w:r w:rsidRPr="008A24CD">
        <w:rPr>
          <w:sz w:val="18"/>
          <w:szCs w:val="18"/>
        </w:rPr>
        <w:t xml:space="preserve">Retrospective study of National Cancer Data Base data </w:t>
      </w:r>
    </w:p>
    <w:p w14:paraId="795ACBC1" w14:textId="77777777" w:rsidR="001173A7" w:rsidRPr="00325073" w:rsidRDefault="001173A7" w:rsidP="00325073">
      <w:pPr>
        <w:pStyle w:val="FootnoteText"/>
      </w:pPr>
    </w:p>
    <w:p w14:paraId="09EBBF68" w14:textId="0DFF6F18" w:rsidR="00325073" w:rsidRDefault="00325073">
      <w:pPr>
        <w:pStyle w:val="FootnoteText"/>
      </w:pPr>
    </w:p>
  </w:footnote>
  <w:footnote w:id="20">
    <w:p w14:paraId="25002D02" w14:textId="77777777" w:rsidR="008C1AF5" w:rsidRDefault="008C1AF5">
      <w:pPr>
        <w:pStyle w:val="FootnoteText"/>
      </w:pPr>
    </w:p>
    <w:p w14:paraId="48023A39" w14:textId="0554E5CA" w:rsidR="008C1AF5" w:rsidRPr="008A24CD" w:rsidRDefault="008C1AF5">
      <w:pPr>
        <w:pStyle w:val="FootnoteText"/>
        <w:rPr>
          <w:sz w:val="18"/>
          <w:szCs w:val="18"/>
        </w:rPr>
      </w:pPr>
      <w:r w:rsidRPr="008A24CD">
        <w:rPr>
          <w:sz w:val="18"/>
          <w:szCs w:val="18"/>
        </w:rPr>
        <w:t>References:</w:t>
      </w:r>
    </w:p>
    <w:p w14:paraId="75814342" w14:textId="0B549C70"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Siegel RL, Miller KD, Fuchs HE, Jemal A. Cancer Statistics, 2021. </w:t>
      </w:r>
      <w:r w:rsidRPr="008A24CD">
        <w:rPr>
          <w:i/>
          <w:iCs/>
          <w:sz w:val="18"/>
          <w:szCs w:val="18"/>
        </w:rPr>
        <w:t>CA Cancer J Clin.</w:t>
      </w:r>
      <w:r w:rsidRPr="008A24CD">
        <w:rPr>
          <w:sz w:val="18"/>
          <w:szCs w:val="18"/>
        </w:rPr>
        <w:t xml:space="preserve"> 2021;71(1):7-33. doi:10.3322/caac.21654</w:t>
      </w:r>
    </w:p>
  </w:footnote>
  <w:footnote w:id="21">
    <w:p w14:paraId="0B01179B" w14:textId="182271FB"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ACS. Survival Rates for Colorectal Cancer, by Stage. Accessed May 31, 2021 https://www.cancer.org/cancer/colon-rectal-cancer/detection-diagnosis-staging/survival-rates.html </w:t>
      </w:r>
    </w:p>
  </w:footnote>
  <w:footnote w:id="22">
    <w:p w14:paraId="4C4556AE" w14:textId="6E447D4F"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10.1001/jama.2021.6238</w:t>
      </w:r>
    </w:p>
  </w:footnote>
  <w:footnote w:id="23">
    <w:p w14:paraId="75AF7746" w14:textId="331C5FC5" w:rsidR="001173A7" w:rsidRPr="008A24CD" w:rsidRDefault="001173A7" w:rsidP="00034ADA">
      <w:pPr>
        <w:pStyle w:val="CommentText"/>
        <w:rPr>
          <w:sz w:val="18"/>
          <w:szCs w:val="18"/>
        </w:rPr>
      </w:pPr>
      <w:r w:rsidRPr="008A24CD">
        <w:rPr>
          <w:rStyle w:val="FootnoteReference"/>
          <w:sz w:val="18"/>
          <w:szCs w:val="18"/>
        </w:rPr>
        <w:footnoteRef/>
      </w:r>
      <w:r w:rsidRPr="008A24CD">
        <w:rPr>
          <w:sz w:val="18"/>
          <w:szCs w:val="18"/>
        </w:rPr>
        <w:t xml:space="preserve"> </w:t>
      </w:r>
      <w:r w:rsidR="00034ADA" w:rsidRPr="008A24CD">
        <w:rPr>
          <w:sz w:val="18"/>
          <w:szCs w:val="18"/>
        </w:rPr>
        <w:t xml:space="preserve">Wolf A, </w:t>
      </w:r>
      <w:proofErr w:type="spellStart"/>
      <w:r w:rsidR="00034ADA" w:rsidRPr="008A24CD">
        <w:rPr>
          <w:sz w:val="18"/>
          <w:szCs w:val="18"/>
        </w:rPr>
        <w:t>Fontham</w:t>
      </w:r>
      <w:proofErr w:type="spellEnd"/>
      <w:r w:rsidR="00034ADA" w:rsidRPr="008A24CD">
        <w:rPr>
          <w:sz w:val="18"/>
          <w:szCs w:val="18"/>
        </w:rPr>
        <w:t xml:space="preserve"> E, Church TR, et al. Colorectal cancer screening for average-risk adults: 2018 guideline update from the American Cancer Society. CA Cancer J Clin. </w:t>
      </w:r>
      <w:proofErr w:type="gramStart"/>
      <w:r w:rsidR="00034ADA" w:rsidRPr="008A24CD">
        <w:rPr>
          <w:sz w:val="18"/>
          <w:szCs w:val="18"/>
        </w:rPr>
        <w:t>2018;68:250</w:t>
      </w:r>
      <w:proofErr w:type="gramEnd"/>
      <w:r w:rsidR="00034ADA" w:rsidRPr="008A24CD">
        <w:rPr>
          <w:sz w:val="18"/>
          <w:szCs w:val="18"/>
        </w:rPr>
        <w:t>-281. doi:10.3322/caac.21457</w:t>
      </w:r>
    </w:p>
  </w:footnote>
  <w:footnote w:id="24">
    <w:p w14:paraId="0A1619BA" w14:textId="1CB06538"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Virostko</w:t>
      </w:r>
      <w:proofErr w:type="spellEnd"/>
      <w:r w:rsidRPr="008A24CD">
        <w:rPr>
          <w:sz w:val="18"/>
          <w:szCs w:val="18"/>
        </w:rPr>
        <w:t xml:space="preserve"> J, </w:t>
      </w:r>
      <w:proofErr w:type="spellStart"/>
      <w:r w:rsidRPr="008A24CD">
        <w:rPr>
          <w:sz w:val="18"/>
          <w:szCs w:val="18"/>
        </w:rPr>
        <w:t>Capasso</w:t>
      </w:r>
      <w:proofErr w:type="spellEnd"/>
      <w:r w:rsidRPr="008A24CD">
        <w:rPr>
          <w:sz w:val="18"/>
          <w:szCs w:val="18"/>
        </w:rPr>
        <w:t xml:space="preserve"> A, </w:t>
      </w:r>
      <w:proofErr w:type="spellStart"/>
      <w:r w:rsidRPr="008A24CD">
        <w:rPr>
          <w:sz w:val="18"/>
          <w:szCs w:val="18"/>
        </w:rPr>
        <w:t>Yankeelov</w:t>
      </w:r>
      <w:proofErr w:type="spellEnd"/>
      <w:r w:rsidRPr="008A24CD">
        <w:rPr>
          <w:sz w:val="18"/>
          <w:szCs w:val="18"/>
        </w:rPr>
        <w:t xml:space="preserve"> TE, Goodgame B. Recent trends in the age at diagnosis of colorectal cancer in the US National Cancer Data Base, 2004-2015. Cancer. 2019;125(21):3828-3835.</w:t>
      </w:r>
    </w:p>
  </w:footnote>
  <w:footnote w:id="25">
    <w:p w14:paraId="7A63B03A" w14:textId="6DA0D6D6"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Siegel RL, et al. Cancer Statistics, 2021. </w:t>
      </w:r>
      <w:r w:rsidRPr="008A24CD">
        <w:rPr>
          <w:i/>
          <w:iCs/>
          <w:sz w:val="18"/>
          <w:szCs w:val="18"/>
        </w:rPr>
        <w:t xml:space="preserve">CA A Cancer J Clin. </w:t>
      </w:r>
      <w:r w:rsidRPr="008A24CD">
        <w:rPr>
          <w:sz w:val="18"/>
          <w:szCs w:val="18"/>
        </w:rPr>
        <w:t>2021;71(1):7-33. doi:10.3322/caac.21654</w:t>
      </w:r>
    </w:p>
    <w:p w14:paraId="4E5EAF6D" w14:textId="217CD7B8" w:rsidR="008C1AF5" w:rsidRPr="008A24CD" w:rsidRDefault="008C1AF5">
      <w:pPr>
        <w:pStyle w:val="FootnoteText"/>
        <w:rPr>
          <w:sz w:val="18"/>
          <w:szCs w:val="18"/>
        </w:rPr>
      </w:pPr>
    </w:p>
    <w:p w14:paraId="54035FC2" w14:textId="77777777" w:rsidR="008C1AF5" w:rsidRPr="008A24CD" w:rsidRDefault="008C1AF5" w:rsidP="008C1AF5">
      <w:pPr>
        <w:pStyle w:val="FootnoteText"/>
        <w:rPr>
          <w:sz w:val="18"/>
          <w:szCs w:val="18"/>
        </w:rPr>
      </w:pPr>
      <w:r w:rsidRPr="008A24CD">
        <w:rPr>
          <w:sz w:val="18"/>
          <w:szCs w:val="18"/>
        </w:rPr>
        <w:t>Footnote:</w:t>
      </w:r>
    </w:p>
    <w:p w14:paraId="207D8160" w14:textId="77777777" w:rsidR="008C1AF5" w:rsidRPr="008A24CD" w:rsidRDefault="008C1AF5" w:rsidP="008C1AF5">
      <w:pPr>
        <w:pStyle w:val="FootnoteText"/>
        <w:rPr>
          <w:sz w:val="18"/>
          <w:szCs w:val="18"/>
        </w:rPr>
      </w:pPr>
      <w:r w:rsidRPr="008A24CD">
        <w:rPr>
          <w:sz w:val="18"/>
          <w:szCs w:val="18"/>
        </w:rPr>
        <w:t xml:space="preserve">*Based on people diagnosed with CRC in stage I, stage </w:t>
      </w:r>
      <w:proofErr w:type="spellStart"/>
      <w:r w:rsidRPr="008A24CD">
        <w:rPr>
          <w:sz w:val="18"/>
          <w:szCs w:val="18"/>
        </w:rPr>
        <w:t>IIa</w:t>
      </w:r>
      <w:proofErr w:type="spellEnd"/>
      <w:r w:rsidRPr="008A24CD">
        <w:rPr>
          <w:sz w:val="18"/>
          <w:szCs w:val="18"/>
        </w:rPr>
        <w:t>, or stage IIb between 2010 and 2016.</w:t>
      </w:r>
    </w:p>
    <w:p w14:paraId="09D908EF" w14:textId="77777777" w:rsidR="008C1AF5" w:rsidRPr="008A24CD" w:rsidRDefault="008C1AF5" w:rsidP="008C1AF5">
      <w:pPr>
        <w:pStyle w:val="FootnoteText"/>
        <w:rPr>
          <w:rFonts w:cstheme="minorHAnsi"/>
          <w:sz w:val="18"/>
          <w:szCs w:val="18"/>
        </w:rPr>
      </w:pPr>
      <w:r w:rsidRPr="008A24CD">
        <w:rPr>
          <w:rFonts w:cstheme="minorHAnsi"/>
          <w:sz w:val="18"/>
          <w:szCs w:val="18"/>
        </w:rPr>
        <w:t xml:space="preserve">† Localized: There is no sign that the cancer has spread outside of the colon or rectum. This includes AJCC stage I, </w:t>
      </w:r>
      <w:proofErr w:type="spellStart"/>
      <w:r w:rsidRPr="008A24CD">
        <w:rPr>
          <w:rFonts w:cstheme="minorHAnsi"/>
          <w:sz w:val="18"/>
          <w:szCs w:val="18"/>
        </w:rPr>
        <w:t>IIa</w:t>
      </w:r>
      <w:proofErr w:type="spellEnd"/>
      <w:r w:rsidRPr="008A24CD">
        <w:rPr>
          <w:rFonts w:cstheme="minorHAnsi"/>
          <w:sz w:val="18"/>
          <w:szCs w:val="18"/>
        </w:rPr>
        <w:t xml:space="preserve">, and IIb cancers. Regional: The cancer has spread outside the colon or rectum to nearby structures or lymph nodes. This includes stage </w:t>
      </w:r>
      <w:proofErr w:type="spellStart"/>
      <w:r w:rsidRPr="008A24CD">
        <w:rPr>
          <w:rFonts w:cstheme="minorHAnsi"/>
          <w:sz w:val="18"/>
          <w:szCs w:val="18"/>
        </w:rPr>
        <w:t>IIc</w:t>
      </w:r>
      <w:proofErr w:type="spellEnd"/>
      <w:r w:rsidRPr="008A24CD">
        <w:rPr>
          <w:rFonts w:cstheme="minorHAnsi"/>
          <w:sz w:val="18"/>
          <w:szCs w:val="18"/>
        </w:rPr>
        <w:t xml:space="preserve"> and stage III cancers in the AJCC system. Distant: The cancer has spread to distant parts of the body such as the liver, lungs, or distant lymph nodes. This includes stage IV cancers</w:t>
      </w:r>
      <w:r w:rsidRPr="008A24CD">
        <w:rPr>
          <w:rFonts w:cstheme="minorHAnsi"/>
          <w:sz w:val="18"/>
          <w:szCs w:val="18"/>
          <w:vertAlign w:val="superscript"/>
        </w:rPr>
        <w:t>25</w:t>
      </w:r>
    </w:p>
    <w:p w14:paraId="4D6C6FA1" w14:textId="77777777" w:rsidR="008C1AF5" w:rsidRDefault="008C1AF5">
      <w:pPr>
        <w:pStyle w:val="FootnoteText"/>
      </w:pPr>
    </w:p>
  </w:footnote>
  <w:footnote w:id="26">
    <w:p w14:paraId="60F22900" w14:textId="451BDCE3" w:rsidR="0018784E" w:rsidRPr="008A24CD" w:rsidRDefault="0018784E" w:rsidP="001173A7">
      <w:pPr>
        <w:pStyle w:val="FootnoteText"/>
        <w:rPr>
          <w:sz w:val="18"/>
          <w:szCs w:val="18"/>
        </w:rPr>
      </w:pPr>
      <w:r w:rsidRPr="008A24CD">
        <w:rPr>
          <w:sz w:val="18"/>
          <w:szCs w:val="18"/>
        </w:rPr>
        <w:t>References:</w:t>
      </w:r>
    </w:p>
    <w:p w14:paraId="615251D2" w14:textId="0F0B0642"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xml:space="preserve">: 10.1001/jama.2021.6238 </w:t>
      </w:r>
    </w:p>
  </w:footnote>
  <w:footnote w:id="27">
    <w:p w14:paraId="739A7383" w14:textId="0B7FCE82"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Piscitello</w:t>
      </w:r>
      <w:proofErr w:type="spellEnd"/>
      <w:r w:rsidRPr="008A24CD">
        <w:rPr>
          <w:sz w:val="18"/>
          <w:szCs w:val="18"/>
        </w:rPr>
        <w:t xml:space="preserve"> A, Edwards DK. Estimating the screening-eligible population size, aged 45 to 74, at average risk to develop colorectal cancer in the United States. Cancer </w:t>
      </w:r>
      <w:proofErr w:type="spellStart"/>
      <w:r w:rsidRPr="008A24CD">
        <w:rPr>
          <w:sz w:val="18"/>
          <w:szCs w:val="18"/>
        </w:rPr>
        <w:t>Prev</w:t>
      </w:r>
      <w:proofErr w:type="spellEnd"/>
      <w:r w:rsidRPr="008A24CD">
        <w:rPr>
          <w:sz w:val="18"/>
          <w:szCs w:val="18"/>
        </w:rPr>
        <w:t xml:space="preserve"> Res. 2020;13(5):443-448. </w:t>
      </w:r>
      <w:proofErr w:type="gramStart"/>
      <w:r w:rsidRPr="008A24CD">
        <w:rPr>
          <w:sz w:val="18"/>
          <w:szCs w:val="18"/>
        </w:rPr>
        <w:t>doi:10.1158/1940-6207.CAPR</w:t>
      </w:r>
      <w:proofErr w:type="gramEnd"/>
      <w:r w:rsidRPr="008A24CD">
        <w:rPr>
          <w:sz w:val="18"/>
          <w:szCs w:val="18"/>
        </w:rPr>
        <w:t xml:space="preserve">-19-052 </w:t>
      </w:r>
    </w:p>
  </w:footnote>
  <w:footnote w:id="28">
    <w:p w14:paraId="3A41E219" w14:textId="41220F31"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United States Census Bureau. California population estimates. 2019.  Accessed May 12, 2021 https://www.census.gov/search-results.html?searchType=web&amp;cssp=SERP&amp;q=California%20total%20population </w:t>
      </w:r>
    </w:p>
  </w:footnote>
  <w:footnote w:id="29">
    <w:p w14:paraId="43FD6005" w14:textId="52ADACF5"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xml:space="preserve">: 10.1001/jama.2021.6238 </w:t>
      </w:r>
    </w:p>
  </w:footnote>
  <w:footnote w:id="30">
    <w:p w14:paraId="69FB7AA7" w14:textId="5C13ACBC" w:rsidR="001173A7" w:rsidRPr="008A24CD" w:rsidRDefault="001173A7">
      <w:pPr>
        <w:pStyle w:val="FootnoteText"/>
        <w:rPr>
          <w:sz w:val="18"/>
          <w:szCs w:val="18"/>
        </w:rPr>
      </w:pPr>
      <w:r w:rsidRPr="008A24CD">
        <w:rPr>
          <w:rStyle w:val="FootnoteReference"/>
          <w:sz w:val="18"/>
          <w:szCs w:val="18"/>
        </w:rPr>
        <w:footnoteRef/>
      </w:r>
      <w:r w:rsidRPr="008A24CD">
        <w:rPr>
          <w:sz w:val="18"/>
          <w:szCs w:val="18"/>
        </w:rPr>
        <w:t xml:space="preserve"> American Cancer Society. Colorectal Cancer Facts &amp; Figures 2020-2022. Atlanta: American Cancer Society; 2020 </w:t>
      </w:r>
    </w:p>
  </w:footnote>
  <w:footnote w:id="31">
    <w:p w14:paraId="20A4443D" w14:textId="77777777" w:rsidR="0018784E" w:rsidRPr="008A24CD" w:rsidRDefault="0018784E" w:rsidP="0018784E">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Muthukrishnan</w:t>
      </w:r>
      <w:proofErr w:type="spellEnd"/>
      <w:r w:rsidRPr="008A24CD">
        <w:rPr>
          <w:sz w:val="18"/>
          <w:szCs w:val="18"/>
        </w:rPr>
        <w:t xml:space="preserve"> M, Arnold LD, James AS. Patients’ self-reported barriers to colon cancer screening in federally qualified health center settings. </w:t>
      </w:r>
      <w:proofErr w:type="spellStart"/>
      <w:r w:rsidRPr="008A24CD">
        <w:rPr>
          <w:i/>
          <w:iCs/>
          <w:sz w:val="18"/>
          <w:szCs w:val="18"/>
        </w:rPr>
        <w:t>Prev</w:t>
      </w:r>
      <w:proofErr w:type="spellEnd"/>
      <w:r w:rsidRPr="008A24CD">
        <w:rPr>
          <w:i/>
          <w:iCs/>
          <w:sz w:val="18"/>
          <w:szCs w:val="18"/>
        </w:rPr>
        <w:t xml:space="preserve"> Med Rep</w:t>
      </w:r>
      <w:r w:rsidRPr="008A24CD">
        <w:rPr>
          <w:sz w:val="18"/>
          <w:szCs w:val="18"/>
        </w:rPr>
        <w:t xml:space="preserve">. </w:t>
      </w:r>
      <w:proofErr w:type="gramStart"/>
      <w:r w:rsidRPr="008A24CD">
        <w:rPr>
          <w:sz w:val="18"/>
          <w:szCs w:val="18"/>
        </w:rPr>
        <w:t>doi:10.1016/j.pmedr</w:t>
      </w:r>
      <w:proofErr w:type="gramEnd"/>
      <w:r w:rsidRPr="008A24CD">
        <w:rPr>
          <w:sz w:val="18"/>
          <w:szCs w:val="18"/>
        </w:rPr>
        <w:t>.2019.100896</w:t>
      </w:r>
    </w:p>
    <w:p w14:paraId="18015B82" w14:textId="79D696F6" w:rsidR="0018784E" w:rsidRPr="008A24CD" w:rsidRDefault="0018784E">
      <w:pPr>
        <w:pStyle w:val="FootnoteText"/>
        <w:rPr>
          <w:sz w:val="18"/>
          <w:szCs w:val="18"/>
        </w:rPr>
      </w:pPr>
    </w:p>
    <w:p w14:paraId="64E88EF5" w14:textId="77777777" w:rsidR="0018784E" w:rsidRPr="008A24CD" w:rsidRDefault="0018784E" w:rsidP="0018784E">
      <w:pPr>
        <w:pStyle w:val="FootnoteText"/>
        <w:rPr>
          <w:sz w:val="18"/>
          <w:szCs w:val="18"/>
        </w:rPr>
      </w:pPr>
      <w:r w:rsidRPr="008A24CD">
        <w:rPr>
          <w:sz w:val="18"/>
          <w:szCs w:val="18"/>
        </w:rPr>
        <w:t>Footnote:</w:t>
      </w:r>
    </w:p>
    <w:p w14:paraId="48C136A7" w14:textId="77777777" w:rsidR="0018784E" w:rsidRPr="008A24CD" w:rsidRDefault="0018784E" w:rsidP="0018784E">
      <w:pPr>
        <w:pStyle w:val="FootnoteText"/>
        <w:rPr>
          <w:sz w:val="18"/>
          <w:szCs w:val="18"/>
        </w:rPr>
      </w:pPr>
      <w:r w:rsidRPr="008A24CD">
        <w:rPr>
          <w:sz w:val="18"/>
          <w:szCs w:val="18"/>
          <w:vertAlign w:val="superscript"/>
        </w:rPr>
        <w:t>*</w:t>
      </w:r>
      <w:r w:rsidRPr="008A24CD">
        <w:rPr>
          <w:sz w:val="18"/>
          <w:szCs w:val="18"/>
        </w:rPr>
        <w:t>Estimated based on the US population aged 45 to 74 years as of 2018, adjusted for the reported rates of high-risk conditions and prior screening history for CRC.</w:t>
      </w:r>
    </w:p>
    <w:p w14:paraId="375A82DB" w14:textId="77777777" w:rsidR="0018784E" w:rsidRPr="008A24CD" w:rsidRDefault="0018784E" w:rsidP="0018784E">
      <w:pPr>
        <w:pStyle w:val="FootnoteText"/>
        <w:rPr>
          <w:sz w:val="18"/>
          <w:szCs w:val="18"/>
        </w:rPr>
      </w:pPr>
      <w:r w:rsidRPr="008A24CD">
        <w:rPr>
          <w:rFonts w:cstheme="minorHAnsi"/>
          <w:sz w:val="18"/>
          <w:szCs w:val="18"/>
        </w:rPr>
        <w:t>†</w:t>
      </w:r>
      <w:r w:rsidRPr="008A24CD">
        <w:rPr>
          <w:sz w:val="18"/>
          <w:szCs w:val="18"/>
        </w:rPr>
        <w:t xml:space="preserve"> </w:t>
      </w:r>
      <w:r w:rsidRPr="008A24CD">
        <w:rPr>
          <w:b/>
          <w:bCs/>
          <w:sz w:val="18"/>
          <w:szCs w:val="18"/>
        </w:rPr>
        <w:t>Source:</w:t>
      </w:r>
      <w:r w:rsidRPr="008A24CD">
        <w:rPr>
          <w:sz w:val="18"/>
          <w:szCs w:val="18"/>
        </w:rPr>
        <w:t xml:space="preserve"> National Health Interview Survey, 2018.</w:t>
      </w:r>
    </w:p>
    <w:p w14:paraId="65F3D9AF" w14:textId="4194079E" w:rsidR="0018784E" w:rsidRPr="008A24CD" w:rsidRDefault="0018784E" w:rsidP="0018784E">
      <w:pPr>
        <w:pStyle w:val="FootnoteText"/>
        <w:rPr>
          <w:rFonts w:cstheme="minorHAnsi"/>
          <w:sz w:val="18"/>
          <w:szCs w:val="18"/>
        </w:rPr>
      </w:pPr>
      <w:r w:rsidRPr="008A24CD">
        <w:rPr>
          <w:rFonts w:cstheme="minorHAnsi"/>
          <w:sz w:val="18"/>
          <w:szCs w:val="18"/>
        </w:rPr>
        <w:t>‡</w:t>
      </w:r>
      <w:r w:rsidRPr="008A24CD">
        <w:rPr>
          <w:rFonts w:eastAsiaTheme="minorEastAsia" w:hAnsi="Calibri"/>
          <w:color w:val="000000" w:themeColor="text1"/>
          <w:kern w:val="24"/>
          <w:sz w:val="18"/>
          <w:szCs w:val="18"/>
        </w:rPr>
        <w:t xml:space="preserve"> </w:t>
      </w:r>
      <w:r w:rsidRPr="008A24CD">
        <w:rPr>
          <w:rFonts w:cstheme="minorHAnsi"/>
          <w:sz w:val="18"/>
          <w:szCs w:val="18"/>
        </w:rPr>
        <w:t>Cluster-randomized trial performed in 11 urban and rural federally qualified health centers across 2 health systems in metropolitan St. Louis and rural southeastern Missouri aimed at evaluation of self-identified barriers to CRC screening (n=483). Data were collected through surveys administered in person, by phone, of by mail. Previously screened and unscreened participants (aged ≥50 years) were asked about health insurance and access to care, what “What barriers/things got in the way of being screened?” CRC screening with fecal occult blood test/fecal immunochemical test (FOBT/FIT), sigmoidoscopy, and colonoscopy were assessed.</w:t>
      </w:r>
    </w:p>
    <w:p w14:paraId="386A666F" w14:textId="56F2F453" w:rsidR="0018784E" w:rsidRDefault="0018784E">
      <w:pPr>
        <w:pStyle w:val="FootnoteText"/>
      </w:pPr>
    </w:p>
  </w:footnote>
  <w:footnote w:id="32">
    <w:p w14:paraId="682D40F9" w14:textId="497F3DE7" w:rsidR="00191029" w:rsidRPr="008A24CD" w:rsidRDefault="00191029">
      <w:pPr>
        <w:pStyle w:val="FootnoteText"/>
        <w:rPr>
          <w:sz w:val="18"/>
          <w:szCs w:val="18"/>
        </w:rPr>
      </w:pPr>
      <w:r w:rsidRPr="008A24CD">
        <w:rPr>
          <w:sz w:val="18"/>
          <w:szCs w:val="18"/>
        </w:rPr>
        <w:t>Reference</w:t>
      </w:r>
      <w:r w:rsidR="00FB1251">
        <w:rPr>
          <w:sz w:val="18"/>
          <w:szCs w:val="18"/>
        </w:rPr>
        <w:t>s</w:t>
      </w:r>
      <w:r w:rsidRPr="008A24CD">
        <w:rPr>
          <w:sz w:val="18"/>
          <w:szCs w:val="18"/>
        </w:rPr>
        <w:t>:</w:t>
      </w:r>
    </w:p>
    <w:p w14:paraId="73B8144C" w14:textId="0FC17ECD" w:rsidR="00191029" w:rsidRPr="008A24CD" w:rsidRDefault="00191029">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Inadomi</w:t>
      </w:r>
      <w:proofErr w:type="spellEnd"/>
      <w:r w:rsidRPr="008A24CD">
        <w:rPr>
          <w:sz w:val="18"/>
          <w:szCs w:val="18"/>
        </w:rPr>
        <w:t xml:space="preserve"> JM, </w:t>
      </w:r>
      <w:proofErr w:type="spellStart"/>
      <w:r w:rsidRPr="008A24CD">
        <w:rPr>
          <w:sz w:val="18"/>
          <w:szCs w:val="18"/>
        </w:rPr>
        <w:t>Vijan</w:t>
      </w:r>
      <w:proofErr w:type="spellEnd"/>
      <w:r w:rsidRPr="008A24CD">
        <w:rPr>
          <w:sz w:val="18"/>
          <w:szCs w:val="18"/>
        </w:rPr>
        <w:t xml:space="preserve"> S, </w:t>
      </w:r>
      <w:proofErr w:type="spellStart"/>
      <w:r w:rsidRPr="008A24CD">
        <w:rPr>
          <w:sz w:val="18"/>
          <w:szCs w:val="18"/>
        </w:rPr>
        <w:t>Janz</w:t>
      </w:r>
      <w:proofErr w:type="spellEnd"/>
      <w:r w:rsidRPr="008A24CD">
        <w:rPr>
          <w:sz w:val="18"/>
          <w:szCs w:val="18"/>
        </w:rPr>
        <w:t xml:space="preserve"> NK, et </w:t>
      </w:r>
      <w:proofErr w:type="spellStart"/>
      <w:r w:rsidRPr="008A24CD">
        <w:rPr>
          <w:sz w:val="18"/>
          <w:szCs w:val="18"/>
        </w:rPr>
        <w:t>aI</w:t>
      </w:r>
      <w:proofErr w:type="spellEnd"/>
      <w:r w:rsidRPr="008A24CD">
        <w:rPr>
          <w:sz w:val="18"/>
          <w:szCs w:val="18"/>
        </w:rPr>
        <w:t xml:space="preserve">. Adherence to colorectal cancer screening: a randomized clinical trial of competing strategies. </w:t>
      </w:r>
      <w:r w:rsidRPr="008A24CD">
        <w:rPr>
          <w:i/>
          <w:iCs/>
          <w:sz w:val="18"/>
          <w:szCs w:val="18"/>
        </w:rPr>
        <w:t>Arch Intern Med</w:t>
      </w:r>
      <w:r w:rsidRPr="008A24CD">
        <w:rPr>
          <w:sz w:val="18"/>
          <w:szCs w:val="18"/>
        </w:rPr>
        <w:t>. 2012;172(7):575-582.</w:t>
      </w:r>
    </w:p>
  </w:footnote>
  <w:footnote w:id="33">
    <w:p w14:paraId="716181D3" w14:textId="77777777" w:rsidR="00191029" w:rsidRPr="008A24CD" w:rsidRDefault="00191029" w:rsidP="00191029">
      <w:pPr>
        <w:pStyle w:val="FootnoteText"/>
        <w:rPr>
          <w:sz w:val="18"/>
          <w:szCs w:val="18"/>
        </w:rPr>
      </w:pPr>
      <w:r w:rsidRPr="008A24CD">
        <w:rPr>
          <w:rStyle w:val="FootnoteReference"/>
          <w:sz w:val="18"/>
          <w:szCs w:val="18"/>
        </w:rPr>
        <w:footnoteRef/>
      </w:r>
      <w:r w:rsidRPr="008A24CD">
        <w:rPr>
          <w:sz w:val="18"/>
          <w:szCs w:val="18"/>
        </w:rPr>
        <w:t xml:space="preserve"> Internal Data on File. Exact Sciences Corporation. Madison WI.</w:t>
      </w:r>
    </w:p>
    <w:p w14:paraId="27D65CEC" w14:textId="65B7A37F" w:rsidR="00191029" w:rsidRPr="008A24CD" w:rsidRDefault="00191029">
      <w:pPr>
        <w:pStyle w:val="FootnoteText"/>
        <w:rPr>
          <w:sz w:val="18"/>
          <w:szCs w:val="18"/>
        </w:rPr>
      </w:pPr>
    </w:p>
    <w:p w14:paraId="422E1867" w14:textId="77777777" w:rsidR="00191029" w:rsidRPr="008A24CD" w:rsidRDefault="00191029" w:rsidP="00191029">
      <w:pPr>
        <w:pStyle w:val="FootnoteText"/>
        <w:rPr>
          <w:sz w:val="18"/>
          <w:szCs w:val="18"/>
        </w:rPr>
      </w:pPr>
      <w:r w:rsidRPr="008A24CD">
        <w:rPr>
          <w:sz w:val="18"/>
          <w:szCs w:val="18"/>
        </w:rPr>
        <w:t xml:space="preserve">Footnote: </w:t>
      </w:r>
    </w:p>
    <w:p w14:paraId="7D6AF544" w14:textId="77777777" w:rsidR="00191029" w:rsidRPr="008A24CD" w:rsidRDefault="00191029" w:rsidP="00191029">
      <w:pPr>
        <w:pStyle w:val="FootnoteText"/>
        <w:rPr>
          <w:sz w:val="18"/>
          <w:szCs w:val="18"/>
        </w:rPr>
      </w:pPr>
      <w:r w:rsidRPr="008A24CD">
        <w:rPr>
          <w:sz w:val="18"/>
          <w:szCs w:val="18"/>
        </w:rPr>
        <w:t>*</w:t>
      </w:r>
      <w:r w:rsidRPr="008A24CD">
        <w:rPr>
          <w:b/>
          <w:bCs/>
          <w:sz w:val="18"/>
          <w:szCs w:val="18"/>
        </w:rPr>
        <w:t>Study Design</w:t>
      </w:r>
      <w:r w:rsidRPr="008A24CD">
        <w:rPr>
          <w:sz w:val="18"/>
          <w:szCs w:val="18"/>
        </w:rPr>
        <w:t>: In a randomized study of racially and ethnically diverse adults aged 50 to 79 years at average risk for colorectal cancer (CRC) (N=997), healthcare providers presented patients with CRC screening recommendations by one of the following methods</w:t>
      </w:r>
      <w:r w:rsidRPr="008A24CD">
        <w:rPr>
          <w:sz w:val="18"/>
          <w:szCs w:val="18"/>
          <w:vertAlign w:val="superscript"/>
        </w:rPr>
        <w:t>1</w:t>
      </w:r>
      <w:r w:rsidRPr="008A24CD">
        <w:rPr>
          <w:sz w:val="18"/>
          <w:szCs w:val="18"/>
        </w:rPr>
        <w:t xml:space="preserve">: Fecal occult blood test (FOBT) (n=344), Colonoscopy (n=332), Choice of FOBT or colonoscopy (n=321), FOBT-only completion rate was not statistically different vs choice arm, </w:t>
      </w:r>
      <w:r w:rsidRPr="008A24CD">
        <w:rPr>
          <w:i/>
          <w:iCs/>
          <w:sz w:val="18"/>
          <w:szCs w:val="18"/>
        </w:rPr>
        <w:t>P=0.64</w:t>
      </w:r>
      <w:r w:rsidRPr="008A24CD">
        <w:rPr>
          <w:sz w:val="18"/>
          <w:szCs w:val="18"/>
        </w:rPr>
        <w:t>.</w:t>
      </w:r>
    </w:p>
    <w:p w14:paraId="0B502758" w14:textId="77777777" w:rsidR="00191029" w:rsidRPr="008A24CD" w:rsidRDefault="00191029" w:rsidP="00191029">
      <w:pPr>
        <w:pStyle w:val="FootnoteText"/>
        <w:rPr>
          <w:rFonts w:cstheme="minorHAnsi"/>
          <w:sz w:val="18"/>
          <w:szCs w:val="18"/>
        </w:rPr>
      </w:pPr>
      <w:r w:rsidRPr="008A24CD">
        <w:rPr>
          <w:rFonts w:cstheme="minorHAnsi"/>
          <w:sz w:val="18"/>
          <w:szCs w:val="18"/>
        </w:rPr>
        <w:t>†Excludes prior users of mt-sDNA. Screening history of Cologuard users: Exact Sciences patient survey conducted 4/1/20-3/31/21. N=3962</w:t>
      </w:r>
    </w:p>
    <w:p w14:paraId="51083034" w14:textId="77777777" w:rsidR="00191029" w:rsidRDefault="00191029">
      <w:pPr>
        <w:pStyle w:val="FootnoteText"/>
      </w:pPr>
    </w:p>
  </w:footnote>
  <w:footnote w:id="34">
    <w:p w14:paraId="39F0CBB0" w14:textId="5C062778" w:rsidR="00C0382E" w:rsidRPr="008A24CD" w:rsidRDefault="00C0382E" w:rsidP="00C0382E">
      <w:pPr>
        <w:pStyle w:val="FootnoteText"/>
        <w:rPr>
          <w:sz w:val="18"/>
          <w:szCs w:val="18"/>
        </w:rPr>
      </w:pPr>
      <w:r w:rsidRPr="008A24CD">
        <w:rPr>
          <w:sz w:val="18"/>
          <w:szCs w:val="18"/>
        </w:rPr>
        <w:t>References:</w:t>
      </w:r>
    </w:p>
    <w:p w14:paraId="7CDC97F6" w14:textId="65C2ED03" w:rsidR="00C0382E" w:rsidRPr="008A24CD" w:rsidRDefault="00C0382E">
      <w:pPr>
        <w:pStyle w:val="FootnoteText"/>
        <w:rPr>
          <w:sz w:val="18"/>
          <w:szCs w:val="18"/>
        </w:rPr>
      </w:pPr>
      <w:r w:rsidRPr="008A24CD">
        <w:rPr>
          <w:rStyle w:val="FootnoteReference"/>
          <w:sz w:val="18"/>
          <w:szCs w:val="18"/>
        </w:rPr>
        <w:footnoteRef/>
      </w:r>
      <w:r w:rsidRPr="008A24CD">
        <w:rPr>
          <w:sz w:val="18"/>
          <w:szCs w:val="18"/>
        </w:rPr>
        <w:t xml:space="preserve"> Davidson KW, Barry MJ, Mangione CM, et al. Screening for colorectal cancer: US Preventive Services Task Force recommendation statement. </w:t>
      </w:r>
      <w:r w:rsidRPr="008A24CD">
        <w:rPr>
          <w:i/>
          <w:iCs/>
          <w:sz w:val="18"/>
          <w:szCs w:val="18"/>
        </w:rPr>
        <w:t>JAMA</w:t>
      </w:r>
      <w:r w:rsidRPr="008A24CD">
        <w:rPr>
          <w:sz w:val="18"/>
          <w:szCs w:val="18"/>
        </w:rPr>
        <w:t xml:space="preserve">. 2021;325(19):1965-1977. </w:t>
      </w:r>
      <w:proofErr w:type="spellStart"/>
      <w:r w:rsidRPr="008A24CD">
        <w:rPr>
          <w:sz w:val="18"/>
          <w:szCs w:val="18"/>
        </w:rPr>
        <w:t>doi</w:t>
      </w:r>
      <w:proofErr w:type="spellEnd"/>
      <w:r w:rsidRPr="008A24CD">
        <w:rPr>
          <w:sz w:val="18"/>
          <w:szCs w:val="18"/>
        </w:rPr>
        <w:t>: 10.1001/jama.2021.6238</w:t>
      </w:r>
    </w:p>
  </w:footnote>
  <w:footnote w:id="35">
    <w:p w14:paraId="377C9B4D" w14:textId="020B7046" w:rsidR="00C0382E" w:rsidRPr="008A24CD" w:rsidRDefault="00C0382E">
      <w:pPr>
        <w:pStyle w:val="FootnoteText"/>
        <w:rPr>
          <w:sz w:val="18"/>
          <w:szCs w:val="18"/>
        </w:rPr>
      </w:pPr>
      <w:r w:rsidRPr="008A24CD">
        <w:rPr>
          <w:rStyle w:val="FootnoteReference"/>
          <w:sz w:val="18"/>
          <w:szCs w:val="18"/>
        </w:rPr>
        <w:footnoteRef/>
      </w:r>
      <w:r w:rsidRPr="008A24CD">
        <w:rPr>
          <w:sz w:val="18"/>
          <w:szCs w:val="18"/>
        </w:rPr>
        <w:t xml:space="preserve"> Wolf AMD, </w:t>
      </w:r>
      <w:proofErr w:type="spellStart"/>
      <w:r w:rsidRPr="008A24CD">
        <w:rPr>
          <w:sz w:val="18"/>
          <w:szCs w:val="18"/>
        </w:rPr>
        <w:t>Fontham</w:t>
      </w:r>
      <w:proofErr w:type="spellEnd"/>
      <w:r w:rsidRPr="008A24CD">
        <w:rPr>
          <w:sz w:val="18"/>
          <w:szCs w:val="18"/>
        </w:rPr>
        <w:t xml:space="preserve"> ETH, Church TR, et al. Colorectal cancer screening for </w:t>
      </w:r>
      <w:proofErr w:type="spellStart"/>
      <w:r w:rsidRPr="008A24CD">
        <w:rPr>
          <w:sz w:val="18"/>
          <w:szCs w:val="18"/>
        </w:rPr>
        <w:t>averagerisk</w:t>
      </w:r>
      <w:proofErr w:type="spellEnd"/>
      <w:r w:rsidRPr="008A24CD">
        <w:rPr>
          <w:sz w:val="18"/>
          <w:szCs w:val="18"/>
        </w:rPr>
        <w:t xml:space="preserve"> adults: 2018 guideline update from the American Cancer Society. </w:t>
      </w:r>
      <w:r w:rsidRPr="008A24CD">
        <w:rPr>
          <w:i/>
          <w:iCs/>
          <w:sz w:val="18"/>
          <w:szCs w:val="18"/>
        </w:rPr>
        <w:t>CA Cancer J Clin</w:t>
      </w:r>
      <w:r w:rsidRPr="008A24CD">
        <w:rPr>
          <w:sz w:val="18"/>
          <w:szCs w:val="18"/>
        </w:rPr>
        <w:t>. 2018;68(4):250‐281. doi:10.3322/caac.21457.</w:t>
      </w:r>
    </w:p>
  </w:footnote>
  <w:footnote w:id="36">
    <w:p w14:paraId="602BEA0F" w14:textId="0BDEDB4A" w:rsidR="00C0382E" w:rsidRPr="008A24CD" w:rsidRDefault="00C0382E">
      <w:pPr>
        <w:pStyle w:val="FootnoteText"/>
        <w:rPr>
          <w:sz w:val="18"/>
          <w:szCs w:val="18"/>
        </w:rPr>
      </w:pPr>
      <w:r w:rsidRPr="008A24CD">
        <w:rPr>
          <w:rStyle w:val="FootnoteReference"/>
          <w:sz w:val="18"/>
          <w:szCs w:val="18"/>
        </w:rPr>
        <w:footnoteRef/>
      </w:r>
      <w:r w:rsidRPr="008A24CD">
        <w:rPr>
          <w:sz w:val="18"/>
          <w:szCs w:val="18"/>
        </w:rPr>
        <w:t xml:space="preserve"> </w:t>
      </w:r>
      <w:proofErr w:type="spellStart"/>
      <w:r w:rsidRPr="008A24CD">
        <w:rPr>
          <w:sz w:val="18"/>
          <w:szCs w:val="18"/>
        </w:rPr>
        <w:t>Inadomi</w:t>
      </w:r>
      <w:proofErr w:type="spellEnd"/>
      <w:r w:rsidRPr="008A24CD">
        <w:rPr>
          <w:sz w:val="18"/>
          <w:szCs w:val="18"/>
        </w:rPr>
        <w:t xml:space="preserve"> JM, </w:t>
      </w:r>
      <w:proofErr w:type="spellStart"/>
      <w:r w:rsidRPr="008A24CD">
        <w:rPr>
          <w:sz w:val="18"/>
          <w:szCs w:val="18"/>
        </w:rPr>
        <w:t>Vijan</w:t>
      </w:r>
      <w:proofErr w:type="spellEnd"/>
      <w:r w:rsidRPr="008A24CD">
        <w:rPr>
          <w:sz w:val="18"/>
          <w:szCs w:val="18"/>
        </w:rPr>
        <w:t xml:space="preserve"> S, </w:t>
      </w:r>
      <w:proofErr w:type="spellStart"/>
      <w:r w:rsidRPr="008A24CD">
        <w:rPr>
          <w:sz w:val="18"/>
          <w:szCs w:val="18"/>
        </w:rPr>
        <w:t>Janz</w:t>
      </w:r>
      <w:proofErr w:type="spellEnd"/>
      <w:r w:rsidRPr="008A24CD">
        <w:rPr>
          <w:sz w:val="18"/>
          <w:szCs w:val="18"/>
        </w:rPr>
        <w:t xml:space="preserve"> NK, et al. Adherence to colorectal cancer screening: a randomized clinical trial of competing strategies. </w:t>
      </w:r>
      <w:r w:rsidRPr="008A24CD">
        <w:rPr>
          <w:i/>
          <w:iCs/>
          <w:sz w:val="18"/>
          <w:szCs w:val="18"/>
        </w:rPr>
        <w:t xml:space="preserve">Arch Intern Med. </w:t>
      </w:r>
      <w:r w:rsidRPr="008A24CD">
        <w:rPr>
          <w:sz w:val="18"/>
          <w:szCs w:val="18"/>
        </w:rPr>
        <w:t>2012;172(7):575-582.</w:t>
      </w:r>
    </w:p>
  </w:footnote>
  <w:footnote w:id="37">
    <w:p w14:paraId="4B872605" w14:textId="7F8F5FA7" w:rsidR="00C0382E" w:rsidRPr="008A24CD" w:rsidRDefault="00C0382E">
      <w:pPr>
        <w:pStyle w:val="FootnoteText"/>
        <w:rPr>
          <w:sz w:val="18"/>
          <w:szCs w:val="18"/>
        </w:rPr>
      </w:pPr>
      <w:r w:rsidRPr="008A24CD">
        <w:rPr>
          <w:rStyle w:val="FootnoteReference"/>
          <w:sz w:val="18"/>
          <w:szCs w:val="18"/>
        </w:rPr>
        <w:footnoteRef/>
      </w:r>
      <w:r w:rsidRPr="008A24CD">
        <w:rPr>
          <w:sz w:val="18"/>
          <w:szCs w:val="18"/>
        </w:rPr>
        <w:t xml:space="preserve"> Siegel RL, et al. Cancer Statistics, 2021. CA </w:t>
      </w:r>
      <w:r w:rsidRPr="008A24CD">
        <w:rPr>
          <w:i/>
          <w:iCs/>
          <w:sz w:val="18"/>
          <w:szCs w:val="18"/>
        </w:rPr>
        <w:t>A Cancer J Clin</w:t>
      </w:r>
      <w:r w:rsidRPr="008A24CD">
        <w:rPr>
          <w:sz w:val="18"/>
          <w:szCs w:val="18"/>
        </w:rPr>
        <w:t>. 2021;71(1):7-33. doi:10.3322/caac.21654.</w:t>
      </w:r>
    </w:p>
  </w:footnote>
  <w:footnote w:id="38">
    <w:p w14:paraId="3E7CCA7C" w14:textId="77777777" w:rsidR="00C0382E" w:rsidRPr="008A24CD" w:rsidRDefault="00C0382E" w:rsidP="00C0382E">
      <w:pPr>
        <w:pStyle w:val="FootnoteText"/>
        <w:rPr>
          <w:sz w:val="18"/>
          <w:szCs w:val="18"/>
        </w:rPr>
      </w:pPr>
      <w:r w:rsidRPr="008A24CD">
        <w:rPr>
          <w:rStyle w:val="FootnoteReference"/>
          <w:sz w:val="18"/>
          <w:szCs w:val="18"/>
        </w:rPr>
        <w:footnoteRef/>
      </w:r>
      <w:r w:rsidRPr="008A24CD">
        <w:rPr>
          <w:sz w:val="18"/>
          <w:szCs w:val="18"/>
        </w:rPr>
        <w:t xml:space="preserve"> ACS. Survival Rates for Colorectal Cancer, by Stage. Accessed May 20, 2021. https://www.cancer.org/cancer/colon- rectal-cancer/detection-diagnosis-staging/survival-rates.html</w:t>
      </w:r>
    </w:p>
    <w:p w14:paraId="66282E5A" w14:textId="6EE0C80F" w:rsidR="00C0382E" w:rsidRPr="008A24CD" w:rsidRDefault="00C0382E">
      <w:pPr>
        <w:pStyle w:val="FootnoteText"/>
        <w:rPr>
          <w:sz w:val="18"/>
          <w:szCs w:val="18"/>
        </w:rPr>
      </w:pPr>
    </w:p>
    <w:p w14:paraId="60D39C22" w14:textId="77777777" w:rsidR="00C0382E" w:rsidRPr="008A24CD" w:rsidRDefault="00C0382E" w:rsidP="00C0382E">
      <w:pPr>
        <w:pStyle w:val="FootnoteText"/>
        <w:rPr>
          <w:sz w:val="18"/>
          <w:szCs w:val="18"/>
        </w:rPr>
      </w:pPr>
      <w:r w:rsidRPr="008A24CD">
        <w:rPr>
          <w:sz w:val="18"/>
          <w:szCs w:val="18"/>
        </w:rPr>
        <w:t xml:space="preserve">Footnote: </w:t>
      </w:r>
    </w:p>
    <w:p w14:paraId="3119AE27" w14:textId="77777777" w:rsidR="00C0382E" w:rsidRPr="008A24CD" w:rsidRDefault="00C0382E" w:rsidP="00C0382E">
      <w:pPr>
        <w:pStyle w:val="FootnoteText"/>
        <w:rPr>
          <w:sz w:val="18"/>
          <w:szCs w:val="18"/>
        </w:rPr>
      </w:pPr>
      <w:r w:rsidRPr="008A24CD">
        <w:rPr>
          <w:sz w:val="18"/>
          <w:szCs w:val="18"/>
        </w:rPr>
        <w:t xml:space="preserve">* Based on people diagnosed with CRC in stage I stage </w:t>
      </w:r>
      <w:proofErr w:type="spellStart"/>
      <w:r w:rsidRPr="008A24CD">
        <w:rPr>
          <w:sz w:val="18"/>
          <w:szCs w:val="18"/>
        </w:rPr>
        <w:t>IIa</w:t>
      </w:r>
      <w:proofErr w:type="spellEnd"/>
      <w:r w:rsidRPr="008A24CD">
        <w:rPr>
          <w:sz w:val="18"/>
          <w:szCs w:val="18"/>
        </w:rPr>
        <w:t xml:space="preserve">, or stage IIb between 2010 and 2016 </w:t>
      </w:r>
    </w:p>
    <w:p w14:paraId="413AD3ED" w14:textId="4B1F45A2" w:rsidR="00C0382E" w:rsidRPr="00C0382E" w:rsidRDefault="00C0382E" w:rsidP="00C0382E">
      <w:pPr>
        <w:pStyle w:val="FootnoteText"/>
      </w:pPr>
      <w:r w:rsidRPr="008A24CD">
        <w:rPr>
          <w:sz w:val="18"/>
          <w:szCs w:val="18"/>
        </w:rPr>
        <w:t xml:space="preserve">† Localized: There is no sign that the cancer has spread outside of the colon or rectum. This includes AJCC stage I, </w:t>
      </w:r>
      <w:proofErr w:type="spellStart"/>
      <w:r w:rsidRPr="008A24CD">
        <w:rPr>
          <w:sz w:val="18"/>
          <w:szCs w:val="18"/>
        </w:rPr>
        <w:t>IIa</w:t>
      </w:r>
      <w:proofErr w:type="spellEnd"/>
      <w:r w:rsidRPr="008A24CD">
        <w:rPr>
          <w:sz w:val="18"/>
          <w:szCs w:val="18"/>
        </w:rPr>
        <w:t xml:space="preserve">, and IIb cancers. Regional: The cancer has spread outside the colon or rectum to nearby structures or lymph </w:t>
      </w:r>
      <w:r w:rsidRPr="00FD6A83">
        <w:rPr>
          <w:sz w:val="18"/>
          <w:szCs w:val="18"/>
        </w:rPr>
        <w:t xml:space="preserve">nodes. This includes stage </w:t>
      </w:r>
      <w:proofErr w:type="spellStart"/>
      <w:r w:rsidRPr="00FD6A83">
        <w:rPr>
          <w:sz w:val="18"/>
          <w:szCs w:val="18"/>
        </w:rPr>
        <w:t>IIc</w:t>
      </w:r>
      <w:proofErr w:type="spellEnd"/>
      <w:r w:rsidRPr="00FD6A83">
        <w:rPr>
          <w:sz w:val="18"/>
          <w:szCs w:val="18"/>
        </w:rPr>
        <w:t xml:space="preserve"> and stage III cancers in the AJCC system. Distant: The cancer has spread to distant parts of the body such as the liver, lungs, or distant lymph nodes. This includes stage IV cancers</w:t>
      </w:r>
      <w:r w:rsidR="00D406F3" w:rsidRPr="00FD6A83">
        <w:rPr>
          <w:sz w:val="18"/>
          <w:szCs w:val="18"/>
          <w:vertAlign w:val="superscript"/>
        </w:rPr>
        <w:t>37</w:t>
      </w:r>
    </w:p>
    <w:p w14:paraId="4067DC43" w14:textId="77777777" w:rsidR="00C0382E" w:rsidRDefault="00C038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0C7"/>
    <w:multiLevelType w:val="hybridMultilevel"/>
    <w:tmpl w:val="26086B4E"/>
    <w:lvl w:ilvl="0" w:tplc="EDE4E684">
      <w:start w:val="1"/>
      <w:numFmt w:val="decimal"/>
      <w:lvlText w:val="%1."/>
      <w:lvlJc w:val="left"/>
      <w:pPr>
        <w:tabs>
          <w:tab w:val="num" w:pos="720"/>
        </w:tabs>
        <w:ind w:left="720" w:hanging="360"/>
      </w:pPr>
    </w:lvl>
    <w:lvl w:ilvl="1" w:tplc="FEF219C0" w:tentative="1">
      <w:start w:val="1"/>
      <w:numFmt w:val="decimal"/>
      <w:lvlText w:val="%2."/>
      <w:lvlJc w:val="left"/>
      <w:pPr>
        <w:tabs>
          <w:tab w:val="num" w:pos="1440"/>
        </w:tabs>
        <w:ind w:left="1440" w:hanging="360"/>
      </w:pPr>
    </w:lvl>
    <w:lvl w:ilvl="2" w:tplc="2C44ACC6" w:tentative="1">
      <w:start w:val="1"/>
      <w:numFmt w:val="decimal"/>
      <w:lvlText w:val="%3."/>
      <w:lvlJc w:val="left"/>
      <w:pPr>
        <w:tabs>
          <w:tab w:val="num" w:pos="2160"/>
        </w:tabs>
        <w:ind w:left="2160" w:hanging="360"/>
      </w:pPr>
    </w:lvl>
    <w:lvl w:ilvl="3" w:tplc="924CD0D8" w:tentative="1">
      <w:start w:val="1"/>
      <w:numFmt w:val="decimal"/>
      <w:lvlText w:val="%4."/>
      <w:lvlJc w:val="left"/>
      <w:pPr>
        <w:tabs>
          <w:tab w:val="num" w:pos="2880"/>
        </w:tabs>
        <w:ind w:left="2880" w:hanging="360"/>
      </w:pPr>
    </w:lvl>
    <w:lvl w:ilvl="4" w:tplc="A620AF80" w:tentative="1">
      <w:start w:val="1"/>
      <w:numFmt w:val="decimal"/>
      <w:lvlText w:val="%5."/>
      <w:lvlJc w:val="left"/>
      <w:pPr>
        <w:tabs>
          <w:tab w:val="num" w:pos="3600"/>
        </w:tabs>
        <w:ind w:left="3600" w:hanging="360"/>
      </w:pPr>
    </w:lvl>
    <w:lvl w:ilvl="5" w:tplc="4676B1E2" w:tentative="1">
      <w:start w:val="1"/>
      <w:numFmt w:val="decimal"/>
      <w:lvlText w:val="%6."/>
      <w:lvlJc w:val="left"/>
      <w:pPr>
        <w:tabs>
          <w:tab w:val="num" w:pos="4320"/>
        </w:tabs>
        <w:ind w:left="4320" w:hanging="360"/>
      </w:pPr>
    </w:lvl>
    <w:lvl w:ilvl="6" w:tplc="9D1CD2EE" w:tentative="1">
      <w:start w:val="1"/>
      <w:numFmt w:val="decimal"/>
      <w:lvlText w:val="%7."/>
      <w:lvlJc w:val="left"/>
      <w:pPr>
        <w:tabs>
          <w:tab w:val="num" w:pos="5040"/>
        </w:tabs>
        <w:ind w:left="5040" w:hanging="360"/>
      </w:pPr>
    </w:lvl>
    <w:lvl w:ilvl="7" w:tplc="AF922160" w:tentative="1">
      <w:start w:val="1"/>
      <w:numFmt w:val="decimal"/>
      <w:lvlText w:val="%8."/>
      <w:lvlJc w:val="left"/>
      <w:pPr>
        <w:tabs>
          <w:tab w:val="num" w:pos="5760"/>
        </w:tabs>
        <w:ind w:left="5760" w:hanging="360"/>
      </w:pPr>
    </w:lvl>
    <w:lvl w:ilvl="8" w:tplc="D7F8F6EA" w:tentative="1">
      <w:start w:val="1"/>
      <w:numFmt w:val="decimal"/>
      <w:lvlText w:val="%9."/>
      <w:lvlJc w:val="left"/>
      <w:pPr>
        <w:tabs>
          <w:tab w:val="num" w:pos="6480"/>
        </w:tabs>
        <w:ind w:left="6480" w:hanging="360"/>
      </w:pPr>
    </w:lvl>
  </w:abstractNum>
  <w:abstractNum w:abstractNumId="1" w15:restartNumberingAfterBreak="0">
    <w:nsid w:val="0F804344"/>
    <w:multiLevelType w:val="hybridMultilevel"/>
    <w:tmpl w:val="A85206C8"/>
    <w:lvl w:ilvl="0" w:tplc="6F86C9DE">
      <w:start w:val="1"/>
      <w:numFmt w:val="decimal"/>
      <w:lvlText w:val="%1."/>
      <w:lvlJc w:val="left"/>
      <w:pPr>
        <w:tabs>
          <w:tab w:val="num" w:pos="720"/>
        </w:tabs>
        <w:ind w:left="720" w:hanging="360"/>
      </w:pPr>
    </w:lvl>
    <w:lvl w:ilvl="1" w:tplc="EB8E349C" w:tentative="1">
      <w:start w:val="1"/>
      <w:numFmt w:val="decimal"/>
      <w:lvlText w:val="%2."/>
      <w:lvlJc w:val="left"/>
      <w:pPr>
        <w:tabs>
          <w:tab w:val="num" w:pos="1440"/>
        </w:tabs>
        <w:ind w:left="1440" w:hanging="360"/>
      </w:pPr>
    </w:lvl>
    <w:lvl w:ilvl="2" w:tplc="C78831EA" w:tentative="1">
      <w:start w:val="1"/>
      <w:numFmt w:val="decimal"/>
      <w:lvlText w:val="%3."/>
      <w:lvlJc w:val="left"/>
      <w:pPr>
        <w:tabs>
          <w:tab w:val="num" w:pos="2160"/>
        </w:tabs>
        <w:ind w:left="2160" w:hanging="360"/>
      </w:pPr>
    </w:lvl>
    <w:lvl w:ilvl="3" w:tplc="5AE2F67A" w:tentative="1">
      <w:start w:val="1"/>
      <w:numFmt w:val="decimal"/>
      <w:lvlText w:val="%4."/>
      <w:lvlJc w:val="left"/>
      <w:pPr>
        <w:tabs>
          <w:tab w:val="num" w:pos="2880"/>
        </w:tabs>
        <w:ind w:left="2880" w:hanging="360"/>
      </w:pPr>
    </w:lvl>
    <w:lvl w:ilvl="4" w:tplc="4E5EC890" w:tentative="1">
      <w:start w:val="1"/>
      <w:numFmt w:val="decimal"/>
      <w:lvlText w:val="%5."/>
      <w:lvlJc w:val="left"/>
      <w:pPr>
        <w:tabs>
          <w:tab w:val="num" w:pos="3600"/>
        </w:tabs>
        <w:ind w:left="3600" w:hanging="360"/>
      </w:pPr>
    </w:lvl>
    <w:lvl w:ilvl="5" w:tplc="EDE2A470" w:tentative="1">
      <w:start w:val="1"/>
      <w:numFmt w:val="decimal"/>
      <w:lvlText w:val="%6."/>
      <w:lvlJc w:val="left"/>
      <w:pPr>
        <w:tabs>
          <w:tab w:val="num" w:pos="4320"/>
        </w:tabs>
        <w:ind w:left="4320" w:hanging="360"/>
      </w:pPr>
    </w:lvl>
    <w:lvl w:ilvl="6" w:tplc="D9CACD2C" w:tentative="1">
      <w:start w:val="1"/>
      <w:numFmt w:val="decimal"/>
      <w:lvlText w:val="%7."/>
      <w:lvlJc w:val="left"/>
      <w:pPr>
        <w:tabs>
          <w:tab w:val="num" w:pos="5040"/>
        </w:tabs>
        <w:ind w:left="5040" w:hanging="360"/>
      </w:pPr>
    </w:lvl>
    <w:lvl w:ilvl="7" w:tplc="A418D6AE" w:tentative="1">
      <w:start w:val="1"/>
      <w:numFmt w:val="decimal"/>
      <w:lvlText w:val="%8."/>
      <w:lvlJc w:val="left"/>
      <w:pPr>
        <w:tabs>
          <w:tab w:val="num" w:pos="5760"/>
        </w:tabs>
        <w:ind w:left="5760" w:hanging="360"/>
      </w:pPr>
    </w:lvl>
    <w:lvl w:ilvl="8" w:tplc="5680EB2A" w:tentative="1">
      <w:start w:val="1"/>
      <w:numFmt w:val="decimal"/>
      <w:lvlText w:val="%9."/>
      <w:lvlJc w:val="left"/>
      <w:pPr>
        <w:tabs>
          <w:tab w:val="num" w:pos="6480"/>
        </w:tabs>
        <w:ind w:left="6480" w:hanging="360"/>
      </w:pPr>
    </w:lvl>
  </w:abstractNum>
  <w:abstractNum w:abstractNumId="2" w15:restartNumberingAfterBreak="0">
    <w:nsid w:val="137E7884"/>
    <w:multiLevelType w:val="hybridMultilevel"/>
    <w:tmpl w:val="57F4834A"/>
    <w:lvl w:ilvl="0" w:tplc="21C0495C">
      <w:start w:val="1"/>
      <w:numFmt w:val="decimal"/>
      <w:lvlText w:val="%1."/>
      <w:lvlJc w:val="left"/>
      <w:pPr>
        <w:tabs>
          <w:tab w:val="num" w:pos="720"/>
        </w:tabs>
        <w:ind w:left="720" w:hanging="360"/>
      </w:pPr>
    </w:lvl>
    <w:lvl w:ilvl="1" w:tplc="CDFE3876" w:tentative="1">
      <w:start w:val="1"/>
      <w:numFmt w:val="decimal"/>
      <w:lvlText w:val="%2."/>
      <w:lvlJc w:val="left"/>
      <w:pPr>
        <w:tabs>
          <w:tab w:val="num" w:pos="1440"/>
        </w:tabs>
        <w:ind w:left="1440" w:hanging="360"/>
      </w:pPr>
    </w:lvl>
    <w:lvl w:ilvl="2" w:tplc="5074DFB6" w:tentative="1">
      <w:start w:val="1"/>
      <w:numFmt w:val="decimal"/>
      <w:lvlText w:val="%3."/>
      <w:lvlJc w:val="left"/>
      <w:pPr>
        <w:tabs>
          <w:tab w:val="num" w:pos="2160"/>
        </w:tabs>
        <w:ind w:left="2160" w:hanging="360"/>
      </w:pPr>
    </w:lvl>
    <w:lvl w:ilvl="3" w:tplc="D430E8F0" w:tentative="1">
      <w:start w:val="1"/>
      <w:numFmt w:val="decimal"/>
      <w:lvlText w:val="%4."/>
      <w:lvlJc w:val="left"/>
      <w:pPr>
        <w:tabs>
          <w:tab w:val="num" w:pos="2880"/>
        </w:tabs>
        <w:ind w:left="2880" w:hanging="360"/>
      </w:pPr>
    </w:lvl>
    <w:lvl w:ilvl="4" w:tplc="C16CCB28" w:tentative="1">
      <w:start w:val="1"/>
      <w:numFmt w:val="decimal"/>
      <w:lvlText w:val="%5."/>
      <w:lvlJc w:val="left"/>
      <w:pPr>
        <w:tabs>
          <w:tab w:val="num" w:pos="3600"/>
        </w:tabs>
        <w:ind w:left="3600" w:hanging="360"/>
      </w:pPr>
    </w:lvl>
    <w:lvl w:ilvl="5" w:tplc="7BDE79FA" w:tentative="1">
      <w:start w:val="1"/>
      <w:numFmt w:val="decimal"/>
      <w:lvlText w:val="%6."/>
      <w:lvlJc w:val="left"/>
      <w:pPr>
        <w:tabs>
          <w:tab w:val="num" w:pos="4320"/>
        </w:tabs>
        <w:ind w:left="4320" w:hanging="360"/>
      </w:pPr>
    </w:lvl>
    <w:lvl w:ilvl="6" w:tplc="F0AE06DE" w:tentative="1">
      <w:start w:val="1"/>
      <w:numFmt w:val="decimal"/>
      <w:lvlText w:val="%7."/>
      <w:lvlJc w:val="left"/>
      <w:pPr>
        <w:tabs>
          <w:tab w:val="num" w:pos="5040"/>
        </w:tabs>
        <w:ind w:left="5040" w:hanging="360"/>
      </w:pPr>
    </w:lvl>
    <w:lvl w:ilvl="7" w:tplc="D2884A26" w:tentative="1">
      <w:start w:val="1"/>
      <w:numFmt w:val="decimal"/>
      <w:lvlText w:val="%8."/>
      <w:lvlJc w:val="left"/>
      <w:pPr>
        <w:tabs>
          <w:tab w:val="num" w:pos="5760"/>
        </w:tabs>
        <w:ind w:left="5760" w:hanging="360"/>
      </w:pPr>
    </w:lvl>
    <w:lvl w:ilvl="8" w:tplc="210C3C8C" w:tentative="1">
      <w:start w:val="1"/>
      <w:numFmt w:val="decimal"/>
      <w:lvlText w:val="%9."/>
      <w:lvlJc w:val="left"/>
      <w:pPr>
        <w:tabs>
          <w:tab w:val="num" w:pos="6480"/>
        </w:tabs>
        <w:ind w:left="6480" w:hanging="360"/>
      </w:pPr>
    </w:lvl>
  </w:abstractNum>
  <w:abstractNum w:abstractNumId="3" w15:restartNumberingAfterBreak="0">
    <w:nsid w:val="26216903"/>
    <w:multiLevelType w:val="hybridMultilevel"/>
    <w:tmpl w:val="AE9C3460"/>
    <w:lvl w:ilvl="0" w:tplc="C172E6FC">
      <w:start w:val="1"/>
      <w:numFmt w:val="decimal"/>
      <w:lvlText w:val="%1."/>
      <w:lvlJc w:val="left"/>
      <w:pPr>
        <w:tabs>
          <w:tab w:val="num" w:pos="720"/>
        </w:tabs>
        <w:ind w:left="720" w:hanging="360"/>
      </w:pPr>
    </w:lvl>
    <w:lvl w:ilvl="1" w:tplc="0F6C1D1A" w:tentative="1">
      <w:start w:val="1"/>
      <w:numFmt w:val="decimal"/>
      <w:lvlText w:val="%2."/>
      <w:lvlJc w:val="left"/>
      <w:pPr>
        <w:tabs>
          <w:tab w:val="num" w:pos="1440"/>
        </w:tabs>
        <w:ind w:left="1440" w:hanging="360"/>
      </w:pPr>
    </w:lvl>
    <w:lvl w:ilvl="2" w:tplc="C0CCE95E" w:tentative="1">
      <w:start w:val="1"/>
      <w:numFmt w:val="decimal"/>
      <w:lvlText w:val="%3."/>
      <w:lvlJc w:val="left"/>
      <w:pPr>
        <w:tabs>
          <w:tab w:val="num" w:pos="2160"/>
        </w:tabs>
        <w:ind w:left="2160" w:hanging="360"/>
      </w:pPr>
    </w:lvl>
    <w:lvl w:ilvl="3" w:tplc="590EF4BA" w:tentative="1">
      <w:start w:val="1"/>
      <w:numFmt w:val="decimal"/>
      <w:lvlText w:val="%4."/>
      <w:lvlJc w:val="left"/>
      <w:pPr>
        <w:tabs>
          <w:tab w:val="num" w:pos="2880"/>
        </w:tabs>
        <w:ind w:left="2880" w:hanging="360"/>
      </w:pPr>
    </w:lvl>
    <w:lvl w:ilvl="4" w:tplc="2340CD62" w:tentative="1">
      <w:start w:val="1"/>
      <w:numFmt w:val="decimal"/>
      <w:lvlText w:val="%5."/>
      <w:lvlJc w:val="left"/>
      <w:pPr>
        <w:tabs>
          <w:tab w:val="num" w:pos="3600"/>
        </w:tabs>
        <w:ind w:left="3600" w:hanging="360"/>
      </w:pPr>
    </w:lvl>
    <w:lvl w:ilvl="5" w:tplc="D160CD3E" w:tentative="1">
      <w:start w:val="1"/>
      <w:numFmt w:val="decimal"/>
      <w:lvlText w:val="%6."/>
      <w:lvlJc w:val="left"/>
      <w:pPr>
        <w:tabs>
          <w:tab w:val="num" w:pos="4320"/>
        </w:tabs>
        <w:ind w:left="4320" w:hanging="360"/>
      </w:pPr>
    </w:lvl>
    <w:lvl w:ilvl="6" w:tplc="44747E20" w:tentative="1">
      <w:start w:val="1"/>
      <w:numFmt w:val="decimal"/>
      <w:lvlText w:val="%7."/>
      <w:lvlJc w:val="left"/>
      <w:pPr>
        <w:tabs>
          <w:tab w:val="num" w:pos="5040"/>
        </w:tabs>
        <w:ind w:left="5040" w:hanging="360"/>
      </w:pPr>
    </w:lvl>
    <w:lvl w:ilvl="7" w:tplc="03C29B96" w:tentative="1">
      <w:start w:val="1"/>
      <w:numFmt w:val="decimal"/>
      <w:lvlText w:val="%8."/>
      <w:lvlJc w:val="left"/>
      <w:pPr>
        <w:tabs>
          <w:tab w:val="num" w:pos="5760"/>
        </w:tabs>
        <w:ind w:left="5760" w:hanging="360"/>
      </w:pPr>
    </w:lvl>
    <w:lvl w:ilvl="8" w:tplc="666227E8" w:tentative="1">
      <w:start w:val="1"/>
      <w:numFmt w:val="decimal"/>
      <w:lvlText w:val="%9."/>
      <w:lvlJc w:val="left"/>
      <w:pPr>
        <w:tabs>
          <w:tab w:val="num" w:pos="6480"/>
        </w:tabs>
        <w:ind w:left="6480" w:hanging="360"/>
      </w:pPr>
    </w:lvl>
  </w:abstractNum>
  <w:abstractNum w:abstractNumId="4" w15:restartNumberingAfterBreak="0">
    <w:nsid w:val="425612A5"/>
    <w:multiLevelType w:val="hybridMultilevel"/>
    <w:tmpl w:val="04C2E92C"/>
    <w:lvl w:ilvl="0" w:tplc="C504E02A">
      <w:start w:val="1"/>
      <w:numFmt w:val="decimal"/>
      <w:lvlText w:val="%1."/>
      <w:lvlJc w:val="left"/>
      <w:pPr>
        <w:tabs>
          <w:tab w:val="num" w:pos="720"/>
        </w:tabs>
        <w:ind w:left="720" w:hanging="360"/>
      </w:pPr>
    </w:lvl>
    <w:lvl w:ilvl="1" w:tplc="468E4620" w:tentative="1">
      <w:start w:val="1"/>
      <w:numFmt w:val="decimal"/>
      <w:lvlText w:val="%2."/>
      <w:lvlJc w:val="left"/>
      <w:pPr>
        <w:tabs>
          <w:tab w:val="num" w:pos="1440"/>
        </w:tabs>
        <w:ind w:left="1440" w:hanging="360"/>
      </w:pPr>
    </w:lvl>
    <w:lvl w:ilvl="2" w:tplc="A08488F4" w:tentative="1">
      <w:start w:val="1"/>
      <w:numFmt w:val="decimal"/>
      <w:lvlText w:val="%3."/>
      <w:lvlJc w:val="left"/>
      <w:pPr>
        <w:tabs>
          <w:tab w:val="num" w:pos="2160"/>
        </w:tabs>
        <w:ind w:left="2160" w:hanging="360"/>
      </w:pPr>
    </w:lvl>
    <w:lvl w:ilvl="3" w:tplc="7ADE0E74" w:tentative="1">
      <w:start w:val="1"/>
      <w:numFmt w:val="decimal"/>
      <w:lvlText w:val="%4."/>
      <w:lvlJc w:val="left"/>
      <w:pPr>
        <w:tabs>
          <w:tab w:val="num" w:pos="2880"/>
        </w:tabs>
        <w:ind w:left="2880" w:hanging="360"/>
      </w:pPr>
    </w:lvl>
    <w:lvl w:ilvl="4" w:tplc="CDCCC9F0" w:tentative="1">
      <w:start w:val="1"/>
      <w:numFmt w:val="decimal"/>
      <w:lvlText w:val="%5."/>
      <w:lvlJc w:val="left"/>
      <w:pPr>
        <w:tabs>
          <w:tab w:val="num" w:pos="3600"/>
        </w:tabs>
        <w:ind w:left="3600" w:hanging="360"/>
      </w:pPr>
    </w:lvl>
    <w:lvl w:ilvl="5" w:tplc="9B28C596" w:tentative="1">
      <w:start w:val="1"/>
      <w:numFmt w:val="decimal"/>
      <w:lvlText w:val="%6."/>
      <w:lvlJc w:val="left"/>
      <w:pPr>
        <w:tabs>
          <w:tab w:val="num" w:pos="4320"/>
        </w:tabs>
        <w:ind w:left="4320" w:hanging="360"/>
      </w:pPr>
    </w:lvl>
    <w:lvl w:ilvl="6" w:tplc="8BEEB308" w:tentative="1">
      <w:start w:val="1"/>
      <w:numFmt w:val="decimal"/>
      <w:lvlText w:val="%7."/>
      <w:lvlJc w:val="left"/>
      <w:pPr>
        <w:tabs>
          <w:tab w:val="num" w:pos="5040"/>
        </w:tabs>
        <w:ind w:left="5040" w:hanging="360"/>
      </w:pPr>
    </w:lvl>
    <w:lvl w:ilvl="7" w:tplc="E4343232" w:tentative="1">
      <w:start w:val="1"/>
      <w:numFmt w:val="decimal"/>
      <w:lvlText w:val="%8."/>
      <w:lvlJc w:val="left"/>
      <w:pPr>
        <w:tabs>
          <w:tab w:val="num" w:pos="5760"/>
        </w:tabs>
        <w:ind w:left="5760" w:hanging="360"/>
      </w:pPr>
    </w:lvl>
    <w:lvl w:ilvl="8" w:tplc="3778780E" w:tentative="1">
      <w:start w:val="1"/>
      <w:numFmt w:val="decimal"/>
      <w:lvlText w:val="%9."/>
      <w:lvlJc w:val="left"/>
      <w:pPr>
        <w:tabs>
          <w:tab w:val="num" w:pos="6480"/>
        </w:tabs>
        <w:ind w:left="6480" w:hanging="360"/>
      </w:pPr>
    </w:lvl>
  </w:abstractNum>
  <w:abstractNum w:abstractNumId="5" w15:restartNumberingAfterBreak="0">
    <w:nsid w:val="553B7C4D"/>
    <w:multiLevelType w:val="hybridMultilevel"/>
    <w:tmpl w:val="C2D8527C"/>
    <w:lvl w:ilvl="0" w:tplc="BBC2B774">
      <w:start w:val="1"/>
      <w:numFmt w:val="decimal"/>
      <w:lvlText w:val="%1."/>
      <w:lvlJc w:val="left"/>
      <w:pPr>
        <w:tabs>
          <w:tab w:val="num" w:pos="720"/>
        </w:tabs>
        <w:ind w:left="720" w:hanging="360"/>
      </w:pPr>
    </w:lvl>
    <w:lvl w:ilvl="1" w:tplc="85BA9C12" w:tentative="1">
      <w:start w:val="1"/>
      <w:numFmt w:val="decimal"/>
      <w:lvlText w:val="%2."/>
      <w:lvlJc w:val="left"/>
      <w:pPr>
        <w:tabs>
          <w:tab w:val="num" w:pos="1440"/>
        </w:tabs>
        <w:ind w:left="1440" w:hanging="360"/>
      </w:pPr>
    </w:lvl>
    <w:lvl w:ilvl="2" w:tplc="E548873C" w:tentative="1">
      <w:start w:val="1"/>
      <w:numFmt w:val="decimal"/>
      <w:lvlText w:val="%3."/>
      <w:lvlJc w:val="left"/>
      <w:pPr>
        <w:tabs>
          <w:tab w:val="num" w:pos="2160"/>
        </w:tabs>
        <w:ind w:left="2160" w:hanging="360"/>
      </w:pPr>
    </w:lvl>
    <w:lvl w:ilvl="3" w:tplc="91C015DA" w:tentative="1">
      <w:start w:val="1"/>
      <w:numFmt w:val="decimal"/>
      <w:lvlText w:val="%4."/>
      <w:lvlJc w:val="left"/>
      <w:pPr>
        <w:tabs>
          <w:tab w:val="num" w:pos="2880"/>
        </w:tabs>
        <w:ind w:left="2880" w:hanging="360"/>
      </w:pPr>
    </w:lvl>
    <w:lvl w:ilvl="4" w:tplc="BA54DC7A" w:tentative="1">
      <w:start w:val="1"/>
      <w:numFmt w:val="decimal"/>
      <w:lvlText w:val="%5."/>
      <w:lvlJc w:val="left"/>
      <w:pPr>
        <w:tabs>
          <w:tab w:val="num" w:pos="3600"/>
        </w:tabs>
        <w:ind w:left="3600" w:hanging="360"/>
      </w:pPr>
    </w:lvl>
    <w:lvl w:ilvl="5" w:tplc="D92046F4" w:tentative="1">
      <w:start w:val="1"/>
      <w:numFmt w:val="decimal"/>
      <w:lvlText w:val="%6."/>
      <w:lvlJc w:val="left"/>
      <w:pPr>
        <w:tabs>
          <w:tab w:val="num" w:pos="4320"/>
        </w:tabs>
        <w:ind w:left="4320" w:hanging="360"/>
      </w:pPr>
    </w:lvl>
    <w:lvl w:ilvl="6" w:tplc="804C528A" w:tentative="1">
      <w:start w:val="1"/>
      <w:numFmt w:val="decimal"/>
      <w:lvlText w:val="%7."/>
      <w:lvlJc w:val="left"/>
      <w:pPr>
        <w:tabs>
          <w:tab w:val="num" w:pos="5040"/>
        </w:tabs>
        <w:ind w:left="5040" w:hanging="360"/>
      </w:pPr>
    </w:lvl>
    <w:lvl w:ilvl="7" w:tplc="D356479C" w:tentative="1">
      <w:start w:val="1"/>
      <w:numFmt w:val="decimal"/>
      <w:lvlText w:val="%8."/>
      <w:lvlJc w:val="left"/>
      <w:pPr>
        <w:tabs>
          <w:tab w:val="num" w:pos="5760"/>
        </w:tabs>
        <w:ind w:left="5760" w:hanging="360"/>
      </w:pPr>
    </w:lvl>
    <w:lvl w:ilvl="8" w:tplc="A08A4C92" w:tentative="1">
      <w:start w:val="1"/>
      <w:numFmt w:val="decimal"/>
      <w:lvlText w:val="%9."/>
      <w:lvlJc w:val="left"/>
      <w:pPr>
        <w:tabs>
          <w:tab w:val="num" w:pos="6480"/>
        </w:tabs>
        <w:ind w:left="6480" w:hanging="360"/>
      </w:pPr>
    </w:lvl>
  </w:abstractNum>
  <w:abstractNum w:abstractNumId="6" w15:restartNumberingAfterBreak="0">
    <w:nsid w:val="66A76D06"/>
    <w:multiLevelType w:val="hybridMultilevel"/>
    <w:tmpl w:val="B0F2E9E4"/>
    <w:lvl w:ilvl="0" w:tplc="773E1968">
      <w:start w:val="1"/>
      <w:numFmt w:val="decimal"/>
      <w:lvlText w:val="%1."/>
      <w:lvlJc w:val="left"/>
      <w:pPr>
        <w:tabs>
          <w:tab w:val="num" w:pos="720"/>
        </w:tabs>
        <w:ind w:left="720" w:hanging="360"/>
      </w:pPr>
    </w:lvl>
    <w:lvl w:ilvl="1" w:tplc="0A781356" w:tentative="1">
      <w:start w:val="1"/>
      <w:numFmt w:val="decimal"/>
      <w:lvlText w:val="%2."/>
      <w:lvlJc w:val="left"/>
      <w:pPr>
        <w:tabs>
          <w:tab w:val="num" w:pos="1440"/>
        </w:tabs>
        <w:ind w:left="1440" w:hanging="360"/>
      </w:pPr>
    </w:lvl>
    <w:lvl w:ilvl="2" w:tplc="19E60256" w:tentative="1">
      <w:start w:val="1"/>
      <w:numFmt w:val="decimal"/>
      <w:lvlText w:val="%3."/>
      <w:lvlJc w:val="left"/>
      <w:pPr>
        <w:tabs>
          <w:tab w:val="num" w:pos="2160"/>
        </w:tabs>
        <w:ind w:left="2160" w:hanging="360"/>
      </w:pPr>
    </w:lvl>
    <w:lvl w:ilvl="3" w:tplc="129C2896" w:tentative="1">
      <w:start w:val="1"/>
      <w:numFmt w:val="decimal"/>
      <w:lvlText w:val="%4."/>
      <w:lvlJc w:val="left"/>
      <w:pPr>
        <w:tabs>
          <w:tab w:val="num" w:pos="2880"/>
        </w:tabs>
        <w:ind w:left="2880" w:hanging="360"/>
      </w:pPr>
    </w:lvl>
    <w:lvl w:ilvl="4" w:tplc="5B44CCAE" w:tentative="1">
      <w:start w:val="1"/>
      <w:numFmt w:val="decimal"/>
      <w:lvlText w:val="%5."/>
      <w:lvlJc w:val="left"/>
      <w:pPr>
        <w:tabs>
          <w:tab w:val="num" w:pos="3600"/>
        </w:tabs>
        <w:ind w:left="3600" w:hanging="360"/>
      </w:pPr>
    </w:lvl>
    <w:lvl w:ilvl="5" w:tplc="A8BA715C" w:tentative="1">
      <w:start w:val="1"/>
      <w:numFmt w:val="decimal"/>
      <w:lvlText w:val="%6."/>
      <w:lvlJc w:val="left"/>
      <w:pPr>
        <w:tabs>
          <w:tab w:val="num" w:pos="4320"/>
        </w:tabs>
        <w:ind w:left="4320" w:hanging="360"/>
      </w:pPr>
    </w:lvl>
    <w:lvl w:ilvl="6" w:tplc="37064AAC" w:tentative="1">
      <w:start w:val="1"/>
      <w:numFmt w:val="decimal"/>
      <w:lvlText w:val="%7."/>
      <w:lvlJc w:val="left"/>
      <w:pPr>
        <w:tabs>
          <w:tab w:val="num" w:pos="5040"/>
        </w:tabs>
        <w:ind w:left="5040" w:hanging="360"/>
      </w:pPr>
    </w:lvl>
    <w:lvl w:ilvl="7" w:tplc="2E8ADAD4" w:tentative="1">
      <w:start w:val="1"/>
      <w:numFmt w:val="decimal"/>
      <w:lvlText w:val="%8."/>
      <w:lvlJc w:val="left"/>
      <w:pPr>
        <w:tabs>
          <w:tab w:val="num" w:pos="5760"/>
        </w:tabs>
        <w:ind w:left="5760" w:hanging="360"/>
      </w:pPr>
    </w:lvl>
    <w:lvl w:ilvl="8" w:tplc="7F7C1C9C"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02"/>
    <w:rsid w:val="0000727D"/>
    <w:rsid w:val="00034ADA"/>
    <w:rsid w:val="00065D5B"/>
    <w:rsid w:val="000C30C4"/>
    <w:rsid w:val="001173A7"/>
    <w:rsid w:val="00165BF2"/>
    <w:rsid w:val="00181469"/>
    <w:rsid w:val="0018784E"/>
    <w:rsid w:val="00191029"/>
    <w:rsid w:val="001A32A0"/>
    <w:rsid w:val="002375C2"/>
    <w:rsid w:val="00325073"/>
    <w:rsid w:val="00334F28"/>
    <w:rsid w:val="0039063E"/>
    <w:rsid w:val="0041035E"/>
    <w:rsid w:val="00510C56"/>
    <w:rsid w:val="005E3031"/>
    <w:rsid w:val="00636DD9"/>
    <w:rsid w:val="00640950"/>
    <w:rsid w:val="006A4FF6"/>
    <w:rsid w:val="006B399D"/>
    <w:rsid w:val="00711476"/>
    <w:rsid w:val="00723049"/>
    <w:rsid w:val="007378AF"/>
    <w:rsid w:val="007719FA"/>
    <w:rsid w:val="00774390"/>
    <w:rsid w:val="007E0926"/>
    <w:rsid w:val="00812456"/>
    <w:rsid w:val="008A1BF1"/>
    <w:rsid w:val="008A24CD"/>
    <w:rsid w:val="008C1AF5"/>
    <w:rsid w:val="008E6116"/>
    <w:rsid w:val="0091548D"/>
    <w:rsid w:val="0094755B"/>
    <w:rsid w:val="009A7A5D"/>
    <w:rsid w:val="009D5140"/>
    <w:rsid w:val="00A4128A"/>
    <w:rsid w:val="00A41E91"/>
    <w:rsid w:val="00A923E1"/>
    <w:rsid w:val="00AC0151"/>
    <w:rsid w:val="00AD667E"/>
    <w:rsid w:val="00AF0E8B"/>
    <w:rsid w:val="00B36D41"/>
    <w:rsid w:val="00C0253D"/>
    <w:rsid w:val="00C0382E"/>
    <w:rsid w:val="00CE6416"/>
    <w:rsid w:val="00D235C1"/>
    <w:rsid w:val="00D406F3"/>
    <w:rsid w:val="00D61E79"/>
    <w:rsid w:val="00E31B29"/>
    <w:rsid w:val="00E42856"/>
    <w:rsid w:val="00EB724F"/>
    <w:rsid w:val="00F15ECE"/>
    <w:rsid w:val="00F90102"/>
    <w:rsid w:val="00FB1251"/>
    <w:rsid w:val="00FD6507"/>
    <w:rsid w:val="00FD6A83"/>
    <w:rsid w:val="00FE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691D6"/>
  <w15:chartTrackingRefBased/>
  <w15:docId w15:val="{85B26FF8-6CB9-4A0D-9272-4395473E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02"/>
  </w:style>
  <w:style w:type="paragraph" w:styleId="Footer">
    <w:name w:val="footer"/>
    <w:basedOn w:val="Normal"/>
    <w:link w:val="FooterChar"/>
    <w:uiPriority w:val="99"/>
    <w:unhideWhenUsed/>
    <w:rsid w:val="00F9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02"/>
  </w:style>
  <w:style w:type="paragraph" w:styleId="NormalWeb">
    <w:name w:val="Normal (Web)"/>
    <w:basedOn w:val="Normal"/>
    <w:uiPriority w:val="99"/>
    <w:semiHidden/>
    <w:unhideWhenUsed/>
    <w:rsid w:val="00F901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0102"/>
    <w:pPr>
      <w:ind w:left="720"/>
      <w:contextualSpacing/>
    </w:pPr>
  </w:style>
  <w:style w:type="paragraph" w:styleId="FootnoteText">
    <w:name w:val="footnote text"/>
    <w:basedOn w:val="Normal"/>
    <w:link w:val="FootnoteTextChar"/>
    <w:uiPriority w:val="99"/>
    <w:semiHidden/>
    <w:unhideWhenUsed/>
    <w:rsid w:val="00AD6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67E"/>
    <w:rPr>
      <w:sz w:val="20"/>
      <w:szCs w:val="20"/>
    </w:rPr>
  </w:style>
  <w:style w:type="character" w:styleId="FootnoteReference">
    <w:name w:val="footnote reference"/>
    <w:basedOn w:val="DefaultParagraphFont"/>
    <w:uiPriority w:val="99"/>
    <w:semiHidden/>
    <w:unhideWhenUsed/>
    <w:rsid w:val="00AD667E"/>
    <w:rPr>
      <w:vertAlign w:val="superscript"/>
    </w:rPr>
  </w:style>
  <w:style w:type="character" w:styleId="Hyperlink">
    <w:name w:val="Hyperlink"/>
    <w:basedOn w:val="DefaultParagraphFont"/>
    <w:uiPriority w:val="99"/>
    <w:unhideWhenUsed/>
    <w:rsid w:val="00AD667E"/>
    <w:rPr>
      <w:color w:val="0563C1" w:themeColor="hyperlink"/>
      <w:u w:val="single"/>
    </w:rPr>
  </w:style>
  <w:style w:type="character" w:styleId="UnresolvedMention">
    <w:name w:val="Unresolved Mention"/>
    <w:basedOn w:val="DefaultParagraphFont"/>
    <w:uiPriority w:val="99"/>
    <w:semiHidden/>
    <w:unhideWhenUsed/>
    <w:rsid w:val="00AD667E"/>
    <w:rPr>
      <w:color w:val="605E5C"/>
      <w:shd w:val="clear" w:color="auto" w:fill="E1DFDD"/>
    </w:rPr>
  </w:style>
  <w:style w:type="character" w:styleId="CommentReference">
    <w:name w:val="annotation reference"/>
    <w:basedOn w:val="DefaultParagraphFont"/>
    <w:uiPriority w:val="99"/>
    <w:semiHidden/>
    <w:unhideWhenUsed/>
    <w:rsid w:val="00334F28"/>
    <w:rPr>
      <w:sz w:val="16"/>
      <w:szCs w:val="16"/>
    </w:rPr>
  </w:style>
  <w:style w:type="paragraph" w:styleId="CommentText">
    <w:name w:val="annotation text"/>
    <w:basedOn w:val="Normal"/>
    <w:link w:val="CommentTextChar"/>
    <w:uiPriority w:val="99"/>
    <w:unhideWhenUsed/>
    <w:rsid w:val="00334F28"/>
    <w:pPr>
      <w:spacing w:line="240" w:lineRule="auto"/>
    </w:pPr>
    <w:rPr>
      <w:sz w:val="20"/>
      <w:szCs w:val="20"/>
    </w:rPr>
  </w:style>
  <w:style w:type="character" w:customStyle="1" w:styleId="CommentTextChar">
    <w:name w:val="Comment Text Char"/>
    <w:basedOn w:val="DefaultParagraphFont"/>
    <w:link w:val="CommentText"/>
    <w:uiPriority w:val="99"/>
    <w:rsid w:val="00334F28"/>
    <w:rPr>
      <w:sz w:val="20"/>
      <w:szCs w:val="20"/>
    </w:rPr>
  </w:style>
  <w:style w:type="paragraph" w:styleId="CommentSubject">
    <w:name w:val="annotation subject"/>
    <w:basedOn w:val="CommentText"/>
    <w:next w:val="CommentText"/>
    <w:link w:val="CommentSubjectChar"/>
    <w:uiPriority w:val="99"/>
    <w:semiHidden/>
    <w:unhideWhenUsed/>
    <w:rsid w:val="00334F28"/>
    <w:rPr>
      <w:b/>
      <w:bCs/>
    </w:rPr>
  </w:style>
  <w:style w:type="character" w:customStyle="1" w:styleId="CommentSubjectChar">
    <w:name w:val="Comment Subject Char"/>
    <w:basedOn w:val="CommentTextChar"/>
    <w:link w:val="CommentSubject"/>
    <w:uiPriority w:val="99"/>
    <w:semiHidden/>
    <w:rsid w:val="00334F28"/>
    <w:rPr>
      <w:b/>
      <w:bCs/>
      <w:sz w:val="20"/>
      <w:szCs w:val="20"/>
    </w:rPr>
  </w:style>
  <w:style w:type="paragraph" w:styleId="BalloonText">
    <w:name w:val="Balloon Text"/>
    <w:basedOn w:val="Normal"/>
    <w:link w:val="BalloonTextChar"/>
    <w:uiPriority w:val="99"/>
    <w:semiHidden/>
    <w:unhideWhenUsed/>
    <w:rsid w:val="00165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F2"/>
    <w:rPr>
      <w:rFonts w:ascii="Segoe UI" w:hAnsi="Segoe UI" w:cs="Segoe UI"/>
      <w:sz w:val="18"/>
      <w:szCs w:val="18"/>
    </w:rPr>
  </w:style>
  <w:style w:type="character" w:customStyle="1" w:styleId="normaltextrun">
    <w:name w:val="normaltextrun"/>
    <w:basedOn w:val="DefaultParagraphFont"/>
    <w:rsid w:val="001A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17">
      <w:bodyDiv w:val="1"/>
      <w:marLeft w:val="0"/>
      <w:marRight w:val="0"/>
      <w:marTop w:val="0"/>
      <w:marBottom w:val="0"/>
      <w:divBdr>
        <w:top w:val="none" w:sz="0" w:space="0" w:color="auto"/>
        <w:left w:val="none" w:sz="0" w:space="0" w:color="auto"/>
        <w:bottom w:val="none" w:sz="0" w:space="0" w:color="auto"/>
        <w:right w:val="none" w:sz="0" w:space="0" w:color="auto"/>
      </w:divBdr>
    </w:div>
    <w:div w:id="13305743">
      <w:bodyDiv w:val="1"/>
      <w:marLeft w:val="0"/>
      <w:marRight w:val="0"/>
      <w:marTop w:val="0"/>
      <w:marBottom w:val="0"/>
      <w:divBdr>
        <w:top w:val="none" w:sz="0" w:space="0" w:color="auto"/>
        <w:left w:val="none" w:sz="0" w:space="0" w:color="auto"/>
        <w:bottom w:val="none" w:sz="0" w:space="0" w:color="auto"/>
        <w:right w:val="none" w:sz="0" w:space="0" w:color="auto"/>
      </w:divBdr>
    </w:div>
    <w:div w:id="49546237">
      <w:bodyDiv w:val="1"/>
      <w:marLeft w:val="0"/>
      <w:marRight w:val="0"/>
      <w:marTop w:val="0"/>
      <w:marBottom w:val="0"/>
      <w:divBdr>
        <w:top w:val="none" w:sz="0" w:space="0" w:color="auto"/>
        <w:left w:val="none" w:sz="0" w:space="0" w:color="auto"/>
        <w:bottom w:val="none" w:sz="0" w:space="0" w:color="auto"/>
        <w:right w:val="none" w:sz="0" w:space="0" w:color="auto"/>
      </w:divBdr>
    </w:div>
    <w:div w:id="59717177">
      <w:bodyDiv w:val="1"/>
      <w:marLeft w:val="0"/>
      <w:marRight w:val="0"/>
      <w:marTop w:val="0"/>
      <w:marBottom w:val="0"/>
      <w:divBdr>
        <w:top w:val="none" w:sz="0" w:space="0" w:color="auto"/>
        <w:left w:val="none" w:sz="0" w:space="0" w:color="auto"/>
        <w:bottom w:val="none" w:sz="0" w:space="0" w:color="auto"/>
        <w:right w:val="none" w:sz="0" w:space="0" w:color="auto"/>
      </w:divBdr>
    </w:div>
    <w:div w:id="86120349">
      <w:bodyDiv w:val="1"/>
      <w:marLeft w:val="0"/>
      <w:marRight w:val="0"/>
      <w:marTop w:val="0"/>
      <w:marBottom w:val="0"/>
      <w:divBdr>
        <w:top w:val="none" w:sz="0" w:space="0" w:color="auto"/>
        <w:left w:val="none" w:sz="0" w:space="0" w:color="auto"/>
        <w:bottom w:val="none" w:sz="0" w:space="0" w:color="auto"/>
        <w:right w:val="none" w:sz="0" w:space="0" w:color="auto"/>
      </w:divBdr>
    </w:div>
    <w:div w:id="88351806">
      <w:bodyDiv w:val="1"/>
      <w:marLeft w:val="0"/>
      <w:marRight w:val="0"/>
      <w:marTop w:val="0"/>
      <w:marBottom w:val="0"/>
      <w:divBdr>
        <w:top w:val="none" w:sz="0" w:space="0" w:color="auto"/>
        <w:left w:val="none" w:sz="0" w:space="0" w:color="auto"/>
        <w:bottom w:val="none" w:sz="0" w:space="0" w:color="auto"/>
        <w:right w:val="none" w:sz="0" w:space="0" w:color="auto"/>
      </w:divBdr>
    </w:div>
    <w:div w:id="119157013">
      <w:bodyDiv w:val="1"/>
      <w:marLeft w:val="0"/>
      <w:marRight w:val="0"/>
      <w:marTop w:val="0"/>
      <w:marBottom w:val="0"/>
      <w:divBdr>
        <w:top w:val="none" w:sz="0" w:space="0" w:color="auto"/>
        <w:left w:val="none" w:sz="0" w:space="0" w:color="auto"/>
        <w:bottom w:val="none" w:sz="0" w:space="0" w:color="auto"/>
        <w:right w:val="none" w:sz="0" w:space="0" w:color="auto"/>
      </w:divBdr>
    </w:div>
    <w:div w:id="168184076">
      <w:bodyDiv w:val="1"/>
      <w:marLeft w:val="0"/>
      <w:marRight w:val="0"/>
      <w:marTop w:val="0"/>
      <w:marBottom w:val="0"/>
      <w:divBdr>
        <w:top w:val="none" w:sz="0" w:space="0" w:color="auto"/>
        <w:left w:val="none" w:sz="0" w:space="0" w:color="auto"/>
        <w:bottom w:val="none" w:sz="0" w:space="0" w:color="auto"/>
        <w:right w:val="none" w:sz="0" w:space="0" w:color="auto"/>
      </w:divBdr>
    </w:div>
    <w:div w:id="244924505">
      <w:bodyDiv w:val="1"/>
      <w:marLeft w:val="0"/>
      <w:marRight w:val="0"/>
      <w:marTop w:val="0"/>
      <w:marBottom w:val="0"/>
      <w:divBdr>
        <w:top w:val="none" w:sz="0" w:space="0" w:color="auto"/>
        <w:left w:val="none" w:sz="0" w:space="0" w:color="auto"/>
        <w:bottom w:val="none" w:sz="0" w:space="0" w:color="auto"/>
        <w:right w:val="none" w:sz="0" w:space="0" w:color="auto"/>
      </w:divBdr>
    </w:div>
    <w:div w:id="275405858">
      <w:bodyDiv w:val="1"/>
      <w:marLeft w:val="0"/>
      <w:marRight w:val="0"/>
      <w:marTop w:val="0"/>
      <w:marBottom w:val="0"/>
      <w:divBdr>
        <w:top w:val="none" w:sz="0" w:space="0" w:color="auto"/>
        <w:left w:val="none" w:sz="0" w:space="0" w:color="auto"/>
        <w:bottom w:val="none" w:sz="0" w:space="0" w:color="auto"/>
        <w:right w:val="none" w:sz="0" w:space="0" w:color="auto"/>
      </w:divBdr>
    </w:div>
    <w:div w:id="276525165">
      <w:bodyDiv w:val="1"/>
      <w:marLeft w:val="0"/>
      <w:marRight w:val="0"/>
      <w:marTop w:val="0"/>
      <w:marBottom w:val="0"/>
      <w:divBdr>
        <w:top w:val="none" w:sz="0" w:space="0" w:color="auto"/>
        <w:left w:val="none" w:sz="0" w:space="0" w:color="auto"/>
        <w:bottom w:val="none" w:sz="0" w:space="0" w:color="auto"/>
        <w:right w:val="none" w:sz="0" w:space="0" w:color="auto"/>
      </w:divBdr>
      <w:divsChild>
        <w:div w:id="203563171">
          <w:marLeft w:val="360"/>
          <w:marRight w:val="0"/>
          <w:marTop w:val="0"/>
          <w:marBottom w:val="0"/>
          <w:divBdr>
            <w:top w:val="none" w:sz="0" w:space="0" w:color="auto"/>
            <w:left w:val="none" w:sz="0" w:space="0" w:color="auto"/>
            <w:bottom w:val="none" w:sz="0" w:space="0" w:color="auto"/>
            <w:right w:val="none" w:sz="0" w:space="0" w:color="auto"/>
          </w:divBdr>
        </w:div>
      </w:divsChild>
    </w:div>
    <w:div w:id="277687894">
      <w:bodyDiv w:val="1"/>
      <w:marLeft w:val="0"/>
      <w:marRight w:val="0"/>
      <w:marTop w:val="0"/>
      <w:marBottom w:val="0"/>
      <w:divBdr>
        <w:top w:val="none" w:sz="0" w:space="0" w:color="auto"/>
        <w:left w:val="none" w:sz="0" w:space="0" w:color="auto"/>
        <w:bottom w:val="none" w:sz="0" w:space="0" w:color="auto"/>
        <w:right w:val="none" w:sz="0" w:space="0" w:color="auto"/>
      </w:divBdr>
    </w:div>
    <w:div w:id="296961420">
      <w:bodyDiv w:val="1"/>
      <w:marLeft w:val="0"/>
      <w:marRight w:val="0"/>
      <w:marTop w:val="0"/>
      <w:marBottom w:val="0"/>
      <w:divBdr>
        <w:top w:val="none" w:sz="0" w:space="0" w:color="auto"/>
        <w:left w:val="none" w:sz="0" w:space="0" w:color="auto"/>
        <w:bottom w:val="none" w:sz="0" w:space="0" w:color="auto"/>
        <w:right w:val="none" w:sz="0" w:space="0" w:color="auto"/>
      </w:divBdr>
    </w:div>
    <w:div w:id="299069094">
      <w:bodyDiv w:val="1"/>
      <w:marLeft w:val="0"/>
      <w:marRight w:val="0"/>
      <w:marTop w:val="0"/>
      <w:marBottom w:val="0"/>
      <w:divBdr>
        <w:top w:val="none" w:sz="0" w:space="0" w:color="auto"/>
        <w:left w:val="none" w:sz="0" w:space="0" w:color="auto"/>
        <w:bottom w:val="none" w:sz="0" w:space="0" w:color="auto"/>
        <w:right w:val="none" w:sz="0" w:space="0" w:color="auto"/>
      </w:divBdr>
    </w:div>
    <w:div w:id="316032556">
      <w:bodyDiv w:val="1"/>
      <w:marLeft w:val="0"/>
      <w:marRight w:val="0"/>
      <w:marTop w:val="0"/>
      <w:marBottom w:val="0"/>
      <w:divBdr>
        <w:top w:val="none" w:sz="0" w:space="0" w:color="auto"/>
        <w:left w:val="none" w:sz="0" w:space="0" w:color="auto"/>
        <w:bottom w:val="none" w:sz="0" w:space="0" w:color="auto"/>
        <w:right w:val="none" w:sz="0" w:space="0" w:color="auto"/>
      </w:divBdr>
    </w:div>
    <w:div w:id="327757174">
      <w:bodyDiv w:val="1"/>
      <w:marLeft w:val="0"/>
      <w:marRight w:val="0"/>
      <w:marTop w:val="0"/>
      <w:marBottom w:val="0"/>
      <w:divBdr>
        <w:top w:val="none" w:sz="0" w:space="0" w:color="auto"/>
        <w:left w:val="none" w:sz="0" w:space="0" w:color="auto"/>
        <w:bottom w:val="none" w:sz="0" w:space="0" w:color="auto"/>
        <w:right w:val="none" w:sz="0" w:space="0" w:color="auto"/>
      </w:divBdr>
    </w:div>
    <w:div w:id="338049887">
      <w:bodyDiv w:val="1"/>
      <w:marLeft w:val="0"/>
      <w:marRight w:val="0"/>
      <w:marTop w:val="0"/>
      <w:marBottom w:val="0"/>
      <w:divBdr>
        <w:top w:val="none" w:sz="0" w:space="0" w:color="auto"/>
        <w:left w:val="none" w:sz="0" w:space="0" w:color="auto"/>
        <w:bottom w:val="none" w:sz="0" w:space="0" w:color="auto"/>
        <w:right w:val="none" w:sz="0" w:space="0" w:color="auto"/>
      </w:divBdr>
    </w:div>
    <w:div w:id="346292562">
      <w:bodyDiv w:val="1"/>
      <w:marLeft w:val="0"/>
      <w:marRight w:val="0"/>
      <w:marTop w:val="0"/>
      <w:marBottom w:val="0"/>
      <w:divBdr>
        <w:top w:val="none" w:sz="0" w:space="0" w:color="auto"/>
        <w:left w:val="none" w:sz="0" w:space="0" w:color="auto"/>
        <w:bottom w:val="none" w:sz="0" w:space="0" w:color="auto"/>
        <w:right w:val="none" w:sz="0" w:space="0" w:color="auto"/>
      </w:divBdr>
    </w:div>
    <w:div w:id="364477849">
      <w:bodyDiv w:val="1"/>
      <w:marLeft w:val="0"/>
      <w:marRight w:val="0"/>
      <w:marTop w:val="0"/>
      <w:marBottom w:val="0"/>
      <w:divBdr>
        <w:top w:val="none" w:sz="0" w:space="0" w:color="auto"/>
        <w:left w:val="none" w:sz="0" w:space="0" w:color="auto"/>
        <w:bottom w:val="none" w:sz="0" w:space="0" w:color="auto"/>
        <w:right w:val="none" w:sz="0" w:space="0" w:color="auto"/>
      </w:divBdr>
    </w:div>
    <w:div w:id="406195374">
      <w:bodyDiv w:val="1"/>
      <w:marLeft w:val="0"/>
      <w:marRight w:val="0"/>
      <w:marTop w:val="0"/>
      <w:marBottom w:val="0"/>
      <w:divBdr>
        <w:top w:val="none" w:sz="0" w:space="0" w:color="auto"/>
        <w:left w:val="none" w:sz="0" w:space="0" w:color="auto"/>
        <w:bottom w:val="none" w:sz="0" w:space="0" w:color="auto"/>
        <w:right w:val="none" w:sz="0" w:space="0" w:color="auto"/>
      </w:divBdr>
    </w:div>
    <w:div w:id="422721688">
      <w:bodyDiv w:val="1"/>
      <w:marLeft w:val="0"/>
      <w:marRight w:val="0"/>
      <w:marTop w:val="0"/>
      <w:marBottom w:val="0"/>
      <w:divBdr>
        <w:top w:val="none" w:sz="0" w:space="0" w:color="auto"/>
        <w:left w:val="none" w:sz="0" w:space="0" w:color="auto"/>
        <w:bottom w:val="none" w:sz="0" w:space="0" w:color="auto"/>
        <w:right w:val="none" w:sz="0" w:space="0" w:color="auto"/>
      </w:divBdr>
    </w:div>
    <w:div w:id="483739413">
      <w:bodyDiv w:val="1"/>
      <w:marLeft w:val="0"/>
      <w:marRight w:val="0"/>
      <w:marTop w:val="0"/>
      <w:marBottom w:val="0"/>
      <w:divBdr>
        <w:top w:val="none" w:sz="0" w:space="0" w:color="auto"/>
        <w:left w:val="none" w:sz="0" w:space="0" w:color="auto"/>
        <w:bottom w:val="none" w:sz="0" w:space="0" w:color="auto"/>
        <w:right w:val="none" w:sz="0" w:space="0" w:color="auto"/>
      </w:divBdr>
    </w:div>
    <w:div w:id="493109573">
      <w:bodyDiv w:val="1"/>
      <w:marLeft w:val="0"/>
      <w:marRight w:val="0"/>
      <w:marTop w:val="0"/>
      <w:marBottom w:val="0"/>
      <w:divBdr>
        <w:top w:val="none" w:sz="0" w:space="0" w:color="auto"/>
        <w:left w:val="none" w:sz="0" w:space="0" w:color="auto"/>
        <w:bottom w:val="none" w:sz="0" w:space="0" w:color="auto"/>
        <w:right w:val="none" w:sz="0" w:space="0" w:color="auto"/>
      </w:divBdr>
    </w:div>
    <w:div w:id="508833467">
      <w:bodyDiv w:val="1"/>
      <w:marLeft w:val="0"/>
      <w:marRight w:val="0"/>
      <w:marTop w:val="0"/>
      <w:marBottom w:val="0"/>
      <w:divBdr>
        <w:top w:val="none" w:sz="0" w:space="0" w:color="auto"/>
        <w:left w:val="none" w:sz="0" w:space="0" w:color="auto"/>
        <w:bottom w:val="none" w:sz="0" w:space="0" w:color="auto"/>
        <w:right w:val="none" w:sz="0" w:space="0" w:color="auto"/>
      </w:divBdr>
    </w:div>
    <w:div w:id="540022952">
      <w:bodyDiv w:val="1"/>
      <w:marLeft w:val="0"/>
      <w:marRight w:val="0"/>
      <w:marTop w:val="0"/>
      <w:marBottom w:val="0"/>
      <w:divBdr>
        <w:top w:val="none" w:sz="0" w:space="0" w:color="auto"/>
        <w:left w:val="none" w:sz="0" w:space="0" w:color="auto"/>
        <w:bottom w:val="none" w:sz="0" w:space="0" w:color="auto"/>
        <w:right w:val="none" w:sz="0" w:space="0" w:color="auto"/>
      </w:divBdr>
    </w:div>
    <w:div w:id="550917848">
      <w:bodyDiv w:val="1"/>
      <w:marLeft w:val="0"/>
      <w:marRight w:val="0"/>
      <w:marTop w:val="0"/>
      <w:marBottom w:val="0"/>
      <w:divBdr>
        <w:top w:val="none" w:sz="0" w:space="0" w:color="auto"/>
        <w:left w:val="none" w:sz="0" w:space="0" w:color="auto"/>
        <w:bottom w:val="none" w:sz="0" w:space="0" w:color="auto"/>
        <w:right w:val="none" w:sz="0" w:space="0" w:color="auto"/>
      </w:divBdr>
    </w:div>
    <w:div w:id="567151290">
      <w:bodyDiv w:val="1"/>
      <w:marLeft w:val="0"/>
      <w:marRight w:val="0"/>
      <w:marTop w:val="0"/>
      <w:marBottom w:val="0"/>
      <w:divBdr>
        <w:top w:val="none" w:sz="0" w:space="0" w:color="auto"/>
        <w:left w:val="none" w:sz="0" w:space="0" w:color="auto"/>
        <w:bottom w:val="none" w:sz="0" w:space="0" w:color="auto"/>
        <w:right w:val="none" w:sz="0" w:space="0" w:color="auto"/>
      </w:divBdr>
    </w:div>
    <w:div w:id="577404734">
      <w:bodyDiv w:val="1"/>
      <w:marLeft w:val="0"/>
      <w:marRight w:val="0"/>
      <w:marTop w:val="0"/>
      <w:marBottom w:val="0"/>
      <w:divBdr>
        <w:top w:val="none" w:sz="0" w:space="0" w:color="auto"/>
        <w:left w:val="none" w:sz="0" w:space="0" w:color="auto"/>
        <w:bottom w:val="none" w:sz="0" w:space="0" w:color="auto"/>
        <w:right w:val="none" w:sz="0" w:space="0" w:color="auto"/>
      </w:divBdr>
    </w:div>
    <w:div w:id="593519023">
      <w:bodyDiv w:val="1"/>
      <w:marLeft w:val="0"/>
      <w:marRight w:val="0"/>
      <w:marTop w:val="0"/>
      <w:marBottom w:val="0"/>
      <w:divBdr>
        <w:top w:val="none" w:sz="0" w:space="0" w:color="auto"/>
        <w:left w:val="none" w:sz="0" w:space="0" w:color="auto"/>
        <w:bottom w:val="none" w:sz="0" w:space="0" w:color="auto"/>
        <w:right w:val="none" w:sz="0" w:space="0" w:color="auto"/>
      </w:divBdr>
    </w:div>
    <w:div w:id="595603617">
      <w:bodyDiv w:val="1"/>
      <w:marLeft w:val="0"/>
      <w:marRight w:val="0"/>
      <w:marTop w:val="0"/>
      <w:marBottom w:val="0"/>
      <w:divBdr>
        <w:top w:val="none" w:sz="0" w:space="0" w:color="auto"/>
        <w:left w:val="none" w:sz="0" w:space="0" w:color="auto"/>
        <w:bottom w:val="none" w:sz="0" w:space="0" w:color="auto"/>
        <w:right w:val="none" w:sz="0" w:space="0" w:color="auto"/>
      </w:divBdr>
    </w:div>
    <w:div w:id="609320832">
      <w:bodyDiv w:val="1"/>
      <w:marLeft w:val="0"/>
      <w:marRight w:val="0"/>
      <w:marTop w:val="0"/>
      <w:marBottom w:val="0"/>
      <w:divBdr>
        <w:top w:val="none" w:sz="0" w:space="0" w:color="auto"/>
        <w:left w:val="none" w:sz="0" w:space="0" w:color="auto"/>
        <w:bottom w:val="none" w:sz="0" w:space="0" w:color="auto"/>
        <w:right w:val="none" w:sz="0" w:space="0" w:color="auto"/>
      </w:divBdr>
    </w:div>
    <w:div w:id="612906823">
      <w:bodyDiv w:val="1"/>
      <w:marLeft w:val="0"/>
      <w:marRight w:val="0"/>
      <w:marTop w:val="0"/>
      <w:marBottom w:val="0"/>
      <w:divBdr>
        <w:top w:val="none" w:sz="0" w:space="0" w:color="auto"/>
        <w:left w:val="none" w:sz="0" w:space="0" w:color="auto"/>
        <w:bottom w:val="none" w:sz="0" w:space="0" w:color="auto"/>
        <w:right w:val="none" w:sz="0" w:space="0" w:color="auto"/>
      </w:divBdr>
    </w:div>
    <w:div w:id="613513427">
      <w:bodyDiv w:val="1"/>
      <w:marLeft w:val="0"/>
      <w:marRight w:val="0"/>
      <w:marTop w:val="0"/>
      <w:marBottom w:val="0"/>
      <w:divBdr>
        <w:top w:val="none" w:sz="0" w:space="0" w:color="auto"/>
        <w:left w:val="none" w:sz="0" w:space="0" w:color="auto"/>
        <w:bottom w:val="none" w:sz="0" w:space="0" w:color="auto"/>
        <w:right w:val="none" w:sz="0" w:space="0" w:color="auto"/>
      </w:divBdr>
    </w:div>
    <w:div w:id="624431756">
      <w:bodyDiv w:val="1"/>
      <w:marLeft w:val="0"/>
      <w:marRight w:val="0"/>
      <w:marTop w:val="0"/>
      <w:marBottom w:val="0"/>
      <w:divBdr>
        <w:top w:val="none" w:sz="0" w:space="0" w:color="auto"/>
        <w:left w:val="none" w:sz="0" w:space="0" w:color="auto"/>
        <w:bottom w:val="none" w:sz="0" w:space="0" w:color="auto"/>
        <w:right w:val="none" w:sz="0" w:space="0" w:color="auto"/>
      </w:divBdr>
    </w:div>
    <w:div w:id="640766189">
      <w:bodyDiv w:val="1"/>
      <w:marLeft w:val="0"/>
      <w:marRight w:val="0"/>
      <w:marTop w:val="0"/>
      <w:marBottom w:val="0"/>
      <w:divBdr>
        <w:top w:val="none" w:sz="0" w:space="0" w:color="auto"/>
        <w:left w:val="none" w:sz="0" w:space="0" w:color="auto"/>
        <w:bottom w:val="none" w:sz="0" w:space="0" w:color="auto"/>
        <w:right w:val="none" w:sz="0" w:space="0" w:color="auto"/>
      </w:divBdr>
    </w:div>
    <w:div w:id="686711673">
      <w:bodyDiv w:val="1"/>
      <w:marLeft w:val="0"/>
      <w:marRight w:val="0"/>
      <w:marTop w:val="0"/>
      <w:marBottom w:val="0"/>
      <w:divBdr>
        <w:top w:val="none" w:sz="0" w:space="0" w:color="auto"/>
        <w:left w:val="none" w:sz="0" w:space="0" w:color="auto"/>
        <w:bottom w:val="none" w:sz="0" w:space="0" w:color="auto"/>
        <w:right w:val="none" w:sz="0" w:space="0" w:color="auto"/>
      </w:divBdr>
    </w:div>
    <w:div w:id="694619192">
      <w:bodyDiv w:val="1"/>
      <w:marLeft w:val="0"/>
      <w:marRight w:val="0"/>
      <w:marTop w:val="0"/>
      <w:marBottom w:val="0"/>
      <w:divBdr>
        <w:top w:val="none" w:sz="0" w:space="0" w:color="auto"/>
        <w:left w:val="none" w:sz="0" w:space="0" w:color="auto"/>
        <w:bottom w:val="none" w:sz="0" w:space="0" w:color="auto"/>
        <w:right w:val="none" w:sz="0" w:space="0" w:color="auto"/>
      </w:divBdr>
    </w:div>
    <w:div w:id="705447525">
      <w:bodyDiv w:val="1"/>
      <w:marLeft w:val="0"/>
      <w:marRight w:val="0"/>
      <w:marTop w:val="0"/>
      <w:marBottom w:val="0"/>
      <w:divBdr>
        <w:top w:val="none" w:sz="0" w:space="0" w:color="auto"/>
        <w:left w:val="none" w:sz="0" w:space="0" w:color="auto"/>
        <w:bottom w:val="none" w:sz="0" w:space="0" w:color="auto"/>
        <w:right w:val="none" w:sz="0" w:space="0" w:color="auto"/>
      </w:divBdr>
    </w:div>
    <w:div w:id="735662192">
      <w:bodyDiv w:val="1"/>
      <w:marLeft w:val="0"/>
      <w:marRight w:val="0"/>
      <w:marTop w:val="0"/>
      <w:marBottom w:val="0"/>
      <w:divBdr>
        <w:top w:val="none" w:sz="0" w:space="0" w:color="auto"/>
        <w:left w:val="none" w:sz="0" w:space="0" w:color="auto"/>
        <w:bottom w:val="none" w:sz="0" w:space="0" w:color="auto"/>
        <w:right w:val="none" w:sz="0" w:space="0" w:color="auto"/>
      </w:divBdr>
    </w:div>
    <w:div w:id="739599227">
      <w:bodyDiv w:val="1"/>
      <w:marLeft w:val="0"/>
      <w:marRight w:val="0"/>
      <w:marTop w:val="0"/>
      <w:marBottom w:val="0"/>
      <w:divBdr>
        <w:top w:val="none" w:sz="0" w:space="0" w:color="auto"/>
        <w:left w:val="none" w:sz="0" w:space="0" w:color="auto"/>
        <w:bottom w:val="none" w:sz="0" w:space="0" w:color="auto"/>
        <w:right w:val="none" w:sz="0" w:space="0" w:color="auto"/>
      </w:divBdr>
    </w:div>
    <w:div w:id="746196528">
      <w:bodyDiv w:val="1"/>
      <w:marLeft w:val="0"/>
      <w:marRight w:val="0"/>
      <w:marTop w:val="0"/>
      <w:marBottom w:val="0"/>
      <w:divBdr>
        <w:top w:val="none" w:sz="0" w:space="0" w:color="auto"/>
        <w:left w:val="none" w:sz="0" w:space="0" w:color="auto"/>
        <w:bottom w:val="none" w:sz="0" w:space="0" w:color="auto"/>
        <w:right w:val="none" w:sz="0" w:space="0" w:color="auto"/>
      </w:divBdr>
    </w:div>
    <w:div w:id="747964311">
      <w:bodyDiv w:val="1"/>
      <w:marLeft w:val="0"/>
      <w:marRight w:val="0"/>
      <w:marTop w:val="0"/>
      <w:marBottom w:val="0"/>
      <w:divBdr>
        <w:top w:val="none" w:sz="0" w:space="0" w:color="auto"/>
        <w:left w:val="none" w:sz="0" w:space="0" w:color="auto"/>
        <w:bottom w:val="none" w:sz="0" w:space="0" w:color="auto"/>
        <w:right w:val="none" w:sz="0" w:space="0" w:color="auto"/>
      </w:divBdr>
    </w:div>
    <w:div w:id="872615876">
      <w:bodyDiv w:val="1"/>
      <w:marLeft w:val="0"/>
      <w:marRight w:val="0"/>
      <w:marTop w:val="0"/>
      <w:marBottom w:val="0"/>
      <w:divBdr>
        <w:top w:val="none" w:sz="0" w:space="0" w:color="auto"/>
        <w:left w:val="none" w:sz="0" w:space="0" w:color="auto"/>
        <w:bottom w:val="none" w:sz="0" w:space="0" w:color="auto"/>
        <w:right w:val="none" w:sz="0" w:space="0" w:color="auto"/>
      </w:divBdr>
    </w:div>
    <w:div w:id="875387228">
      <w:bodyDiv w:val="1"/>
      <w:marLeft w:val="0"/>
      <w:marRight w:val="0"/>
      <w:marTop w:val="0"/>
      <w:marBottom w:val="0"/>
      <w:divBdr>
        <w:top w:val="none" w:sz="0" w:space="0" w:color="auto"/>
        <w:left w:val="none" w:sz="0" w:space="0" w:color="auto"/>
        <w:bottom w:val="none" w:sz="0" w:space="0" w:color="auto"/>
        <w:right w:val="none" w:sz="0" w:space="0" w:color="auto"/>
      </w:divBdr>
    </w:div>
    <w:div w:id="877737417">
      <w:bodyDiv w:val="1"/>
      <w:marLeft w:val="0"/>
      <w:marRight w:val="0"/>
      <w:marTop w:val="0"/>
      <w:marBottom w:val="0"/>
      <w:divBdr>
        <w:top w:val="none" w:sz="0" w:space="0" w:color="auto"/>
        <w:left w:val="none" w:sz="0" w:space="0" w:color="auto"/>
        <w:bottom w:val="none" w:sz="0" w:space="0" w:color="auto"/>
        <w:right w:val="none" w:sz="0" w:space="0" w:color="auto"/>
      </w:divBdr>
    </w:div>
    <w:div w:id="878317786">
      <w:bodyDiv w:val="1"/>
      <w:marLeft w:val="0"/>
      <w:marRight w:val="0"/>
      <w:marTop w:val="0"/>
      <w:marBottom w:val="0"/>
      <w:divBdr>
        <w:top w:val="none" w:sz="0" w:space="0" w:color="auto"/>
        <w:left w:val="none" w:sz="0" w:space="0" w:color="auto"/>
        <w:bottom w:val="none" w:sz="0" w:space="0" w:color="auto"/>
        <w:right w:val="none" w:sz="0" w:space="0" w:color="auto"/>
      </w:divBdr>
    </w:div>
    <w:div w:id="897395390">
      <w:bodyDiv w:val="1"/>
      <w:marLeft w:val="0"/>
      <w:marRight w:val="0"/>
      <w:marTop w:val="0"/>
      <w:marBottom w:val="0"/>
      <w:divBdr>
        <w:top w:val="none" w:sz="0" w:space="0" w:color="auto"/>
        <w:left w:val="none" w:sz="0" w:space="0" w:color="auto"/>
        <w:bottom w:val="none" w:sz="0" w:space="0" w:color="auto"/>
        <w:right w:val="none" w:sz="0" w:space="0" w:color="auto"/>
      </w:divBdr>
    </w:div>
    <w:div w:id="980302892">
      <w:bodyDiv w:val="1"/>
      <w:marLeft w:val="0"/>
      <w:marRight w:val="0"/>
      <w:marTop w:val="0"/>
      <w:marBottom w:val="0"/>
      <w:divBdr>
        <w:top w:val="none" w:sz="0" w:space="0" w:color="auto"/>
        <w:left w:val="none" w:sz="0" w:space="0" w:color="auto"/>
        <w:bottom w:val="none" w:sz="0" w:space="0" w:color="auto"/>
        <w:right w:val="none" w:sz="0" w:space="0" w:color="auto"/>
      </w:divBdr>
    </w:div>
    <w:div w:id="990213595">
      <w:bodyDiv w:val="1"/>
      <w:marLeft w:val="0"/>
      <w:marRight w:val="0"/>
      <w:marTop w:val="0"/>
      <w:marBottom w:val="0"/>
      <w:divBdr>
        <w:top w:val="none" w:sz="0" w:space="0" w:color="auto"/>
        <w:left w:val="none" w:sz="0" w:space="0" w:color="auto"/>
        <w:bottom w:val="none" w:sz="0" w:space="0" w:color="auto"/>
        <w:right w:val="none" w:sz="0" w:space="0" w:color="auto"/>
      </w:divBdr>
    </w:div>
    <w:div w:id="995911626">
      <w:bodyDiv w:val="1"/>
      <w:marLeft w:val="0"/>
      <w:marRight w:val="0"/>
      <w:marTop w:val="0"/>
      <w:marBottom w:val="0"/>
      <w:divBdr>
        <w:top w:val="none" w:sz="0" w:space="0" w:color="auto"/>
        <w:left w:val="none" w:sz="0" w:space="0" w:color="auto"/>
        <w:bottom w:val="none" w:sz="0" w:space="0" w:color="auto"/>
        <w:right w:val="none" w:sz="0" w:space="0" w:color="auto"/>
      </w:divBdr>
    </w:div>
    <w:div w:id="1036273389">
      <w:bodyDiv w:val="1"/>
      <w:marLeft w:val="0"/>
      <w:marRight w:val="0"/>
      <w:marTop w:val="0"/>
      <w:marBottom w:val="0"/>
      <w:divBdr>
        <w:top w:val="none" w:sz="0" w:space="0" w:color="auto"/>
        <w:left w:val="none" w:sz="0" w:space="0" w:color="auto"/>
        <w:bottom w:val="none" w:sz="0" w:space="0" w:color="auto"/>
        <w:right w:val="none" w:sz="0" w:space="0" w:color="auto"/>
      </w:divBdr>
    </w:div>
    <w:div w:id="1062294901">
      <w:bodyDiv w:val="1"/>
      <w:marLeft w:val="0"/>
      <w:marRight w:val="0"/>
      <w:marTop w:val="0"/>
      <w:marBottom w:val="0"/>
      <w:divBdr>
        <w:top w:val="none" w:sz="0" w:space="0" w:color="auto"/>
        <w:left w:val="none" w:sz="0" w:space="0" w:color="auto"/>
        <w:bottom w:val="none" w:sz="0" w:space="0" w:color="auto"/>
        <w:right w:val="none" w:sz="0" w:space="0" w:color="auto"/>
      </w:divBdr>
    </w:div>
    <w:div w:id="1108349332">
      <w:bodyDiv w:val="1"/>
      <w:marLeft w:val="0"/>
      <w:marRight w:val="0"/>
      <w:marTop w:val="0"/>
      <w:marBottom w:val="0"/>
      <w:divBdr>
        <w:top w:val="none" w:sz="0" w:space="0" w:color="auto"/>
        <w:left w:val="none" w:sz="0" w:space="0" w:color="auto"/>
        <w:bottom w:val="none" w:sz="0" w:space="0" w:color="auto"/>
        <w:right w:val="none" w:sz="0" w:space="0" w:color="auto"/>
      </w:divBdr>
    </w:div>
    <w:div w:id="1131901411">
      <w:bodyDiv w:val="1"/>
      <w:marLeft w:val="0"/>
      <w:marRight w:val="0"/>
      <w:marTop w:val="0"/>
      <w:marBottom w:val="0"/>
      <w:divBdr>
        <w:top w:val="none" w:sz="0" w:space="0" w:color="auto"/>
        <w:left w:val="none" w:sz="0" w:space="0" w:color="auto"/>
        <w:bottom w:val="none" w:sz="0" w:space="0" w:color="auto"/>
        <w:right w:val="none" w:sz="0" w:space="0" w:color="auto"/>
      </w:divBdr>
    </w:div>
    <w:div w:id="1145466140">
      <w:bodyDiv w:val="1"/>
      <w:marLeft w:val="0"/>
      <w:marRight w:val="0"/>
      <w:marTop w:val="0"/>
      <w:marBottom w:val="0"/>
      <w:divBdr>
        <w:top w:val="none" w:sz="0" w:space="0" w:color="auto"/>
        <w:left w:val="none" w:sz="0" w:space="0" w:color="auto"/>
        <w:bottom w:val="none" w:sz="0" w:space="0" w:color="auto"/>
        <w:right w:val="none" w:sz="0" w:space="0" w:color="auto"/>
      </w:divBdr>
    </w:div>
    <w:div w:id="1148790994">
      <w:bodyDiv w:val="1"/>
      <w:marLeft w:val="0"/>
      <w:marRight w:val="0"/>
      <w:marTop w:val="0"/>
      <w:marBottom w:val="0"/>
      <w:divBdr>
        <w:top w:val="none" w:sz="0" w:space="0" w:color="auto"/>
        <w:left w:val="none" w:sz="0" w:space="0" w:color="auto"/>
        <w:bottom w:val="none" w:sz="0" w:space="0" w:color="auto"/>
        <w:right w:val="none" w:sz="0" w:space="0" w:color="auto"/>
      </w:divBdr>
    </w:div>
    <w:div w:id="1154030032">
      <w:bodyDiv w:val="1"/>
      <w:marLeft w:val="0"/>
      <w:marRight w:val="0"/>
      <w:marTop w:val="0"/>
      <w:marBottom w:val="0"/>
      <w:divBdr>
        <w:top w:val="none" w:sz="0" w:space="0" w:color="auto"/>
        <w:left w:val="none" w:sz="0" w:space="0" w:color="auto"/>
        <w:bottom w:val="none" w:sz="0" w:space="0" w:color="auto"/>
        <w:right w:val="none" w:sz="0" w:space="0" w:color="auto"/>
      </w:divBdr>
      <w:divsChild>
        <w:div w:id="1018120599">
          <w:marLeft w:val="360"/>
          <w:marRight w:val="0"/>
          <w:marTop w:val="0"/>
          <w:marBottom w:val="0"/>
          <w:divBdr>
            <w:top w:val="none" w:sz="0" w:space="0" w:color="auto"/>
            <w:left w:val="none" w:sz="0" w:space="0" w:color="auto"/>
            <w:bottom w:val="none" w:sz="0" w:space="0" w:color="auto"/>
            <w:right w:val="none" w:sz="0" w:space="0" w:color="auto"/>
          </w:divBdr>
        </w:div>
      </w:divsChild>
    </w:div>
    <w:div w:id="1187870006">
      <w:bodyDiv w:val="1"/>
      <w:marLeft w:val="0"/>
      <w:marRight w:val="0"/>
      <w:marTop w:val="0"/>
      <w:marBottom w:val="0"/>
      <w:divBdr>
        <w:top w:val="none" w:sz="0" w:space="0" w:color="auto"/>
        <w:left w:val="none" w:sz="0" w:space="0" w:color="auto"/>
        <w:bottom w:val="none" w:sz="0" w:space="0" w:color="auto"/>
        <w:right w:val="none" w:sz="0" w:space="0" w:color="auto"/>
      </w:divBdr>
    </w:div>
    <w:div w:id="1211110632">
      <w:bodyDiv w:val="1"/>
      <w:marLeft w:val="0"/>
      <w:marRight w:val="0"/>
      <w:marTop w:val="0"/>
      <w:marBottom w:val="0"/>
      <w:divBdr>
        <w:top w:val="none" w:sz="0" w:space="0" w:color="auto"/>
        <w:left w:val="none" w:sz="0" w:space="0" w:color="auto"/>
        <w:bottom w:val="none" w:sz="0" w:space="0" w:color="auto"/>
        <w:right w:val="none" w:sz="0" w:space="0" w:color="auto"/>
      </w:divBdr>
      <w:divsChild>
        <w:div w:id="166556962">
          <w:marLeft w:val="360"/>
          <w:marRight w:val="0"/>
          <w:marTop w:val="0"/>
          <w:marBottom w:val="0"/>
          <w:divBdr>
            <w:top w:val="none" w:sz="0" w:space="0" w:color="auto"/>
            <w:left w:val="none" w:sz="0" w:space="0" w:color="auto"/>
            <w:bottom w:val="none" w:sz="0" w:space="0" w:color="auto"/>
            <w:right w:val="none" w:sz="0" w:space="0" w:color="auto"/>
          </w:divBdr>
        </w:div>
      </w:divsChild>
    </w:div>
    <w:div w:id="1216240957">
      <w:bodyDiv w:val="1"/>
      <w:marLeft w:val="0"/>
      <w:marRight w:val="0"/>
      <w:marTop w:val="0"/>
      <w:marBottom w:val="0"/>
      <w:divBdr>
        <w:top w:val="none" w:sz="0" w:space="0" w:color="auto"/>
        <w:left w:val="none" w:sz="0" w:space="0" w:color="auto"/>
        <w:bottom w:val="none" w:sz="0" w:space="0" w:color="auto"/>
        <w:right w:val="none" w:sz="0" w:space="0" w:color="auto"/>
      </w:divBdr>
    </w:div>
    <w:div w:id="1292323758">
      <w:bodyDiv w:val="1"/>
      <w:marLeft w:val="0"/>
      <w:marRight w:val="0"/>
      <w:marTop w:val="0"/>
      <w:marBottom w:val="0"/>
      <w:divBdr>
        <w:top w:val="none" w:sz="0" w:space="0" w:color="auto"/>
        <w:left w:val="none" w:sz="0" w:space="0" w:color="auto"/>
        <w:bottom w:val="none" w:sz="0" w:space="0" w:color="auto"/>
        <w:right w:val="none" w:sz="0" w:space="0" w:color="auto"/>
      </w:divBdr>
    </w:div>
    <w:div w:id="1354183480">
      <w:bodyDiv w:val="1"/>
      <w:marLeft w:val="0"/>
      <w:marRight w:val="0"/>
      <w:marTop w:val="0"/>
      <w:marBottom w:val="0"/>
      <w:divBdr>
        <w:top w:val="none" w:sz="0" w:space="0" w:color="auto"/>
        <w:left w:val="none" w:sz="0" w:space="0" w:color="auto"/>
        <w:bottom w:val="none" w:sz="0" w:space="0" w:color="auto"/>
        <w:right w:val="none" w:sz="0" w:space="0" w:color="auto"/>
      </w:divBdr>
    </w:div>
    <w:div w:id="1367369969">
      <w:bodyDiv w:val="1"/>
      <w:marLeft w:val="0"/>
      <w:marRight w:val="0"/>
      <w:marTop w:val="0"/>
      <w:marBottom w:val="0"/>
      <w:divBdr>
        <w:top w:val="none" w:sz="0" w:space="0" w:color="auto"/>
        <w:left w:val="none" w:sz="0" w:space="0" w:color="auto"/>
        <w:bottom w:val="none" w:sz="0" w:space="0" w:color="auto"/>
        <w:right w:val="none" w:sz="0" w:space="0" w:color="auto"/>
      </w:divBdr>
    </w:div>
    <w:div w:id="1457135419">
      <w:bodyDiv w:val="1"/>
      <w:marLeft w:val="0"/>
      <w:marRight w:val="0"/>
      <w:marTop w:val="0"/>
      <w:marBottom w:val="0"/>
      <w:divBdr>
        <w:top w:val="none" w:sz="0" w:space="0" w:color="auto"/>
        <w:left w:val="none" w:sz="0" w:space="0" w:color="auto"/>
        <w:bottom w:val="none" w:sz="0" w:space="0" w:color="auto"/>
        <w:right w:val="none" w:sz="0" w:space="0" w:color="auto"/>
      </w:divBdr>
    </w:div>
    <w:div w:id="1462962952">
      <w:bodyDiv w:val="1"/>
      <w:marLeft w:val="0"/>
      <w:marRight w:val="0"/>
      <w:marTop w:val="0"/>
      <w:marBottom w:val="0"/>
      <w:divBdr>
        <w:top w:val="none" w:sz="0" w:space="0" w:color="auto"/>
        <w:left w:val="none" w:sz="0" w:space="0" w:color="auto"/>
        <w:bottom w:val="none" w:sz="0" w:space="0" w:color="auto"/>
        <w:right w:val="none" w:sz="0" w:space="0" w:color="auto"/>
      </w:divBdr>
    </w:div>
    <w:div w:id="1571619119">
      <w:bodyDiv w:val="1"/>
      <w:marLeft w:val="0"/>
      <w:marRight w:val="0"/>
      <w:marTop w:val="0"/>
      <w:marBottom w:val="0"/>
      <w:divBdr>
        <w:top w:val="none" w:sz="0" w:space="0" w:color="auto"/>
        <w:left w:val="none" w:sz="0" w:space="0" w:color="auto"/>
        <w:bottom w:val="none" w:sz="0" w:space="0" w:color="auto"/>
        <w:right w:val="none" w:sz="0" w:space="0" w:color="auto"/>
      </w:divBdr>
    </w:div>
    <w:div w:id="1618102844">
      <w:bodyDiv w:val="1"/>
      <w:marLeft w:val="0"/>
      <w:marRight w:val="0"/>
      <w:marTop w:val="0"/>
      <w:marBottom w:val="0"/>
      <w:divBdr>
        <w:top w:val="none" w:sz="0" w:space="0" w:color="auto"/>
        <w:left w:val="none" w:sz="0" w:space="0" w:color="auto"/>
        <w:bottom w:val="none" w:sz="0" w:space="0" w:color="auto"/>
        <w:right w:val="none" w:sz="0" w:space="0" w:color="auto"/>
      </w:divBdr>
    </w:div>
    <w:div w:id="1666279493">
      <w:bodyDiv w:val="1"/>
      <w:marLeft w:val="0"/>
      <w:marRight w:val="0"/>
      <w:marTop w:val="0"/>
      <w:marBottom w:val="0"/>
      <w:divBdr>
        <w:top w:val="none" w:sz="0" w:space="0" w:color="auto"/>
        <w:left w:val="none" w:sz="0" w:space="0" w:color="auto"/>
        <w:bottom w:val="none" w:sz="0" w:space="0" w:color="auto"/>
        <w:right w:val="none" w:sz="0" w:space="0" w:color="auto"/>
      </w:divBdr>
    </w:div>
    <w:div w:id="1673334146">
      <w:bodyDiv w:val="1"/>
      <w:marLeft w:val="0"/>
      <w:marRight w:val="0"/>
      <w:marTop w:val="0"/>
      <w:marBottom w:val="0"/>
      <w:divBdr>
        <w:top w:val="none" w:sz="0" w:space="0" w:color="auto"/>
        <w:left w:val="none" w:sz="0" w:space="0" w:color="auto"/>
        <w:bottom w:val="none" w:sz="0" w:space="0" w:color="auto"/>
        <w:right w:val="none" w:sz="0" w:space="0" w:color="auto"/>
      </w:divBdr>
    </w:div>
    <w:div w:id="1753506580">
      <w:bodyDiv w:val="1"/>
      <w:marLeft w:val="0"/>
      <w:marRight w:val="0"/>
      <w:marTop w:val="0"/>
      <w:marBottom w:val="0"/>
      <w:divBdr>
        <w:top w:val="none" w:sz="0" w:space="0" w:color="auto"/>
        <w:left w:val="none" w:sz="0" w:space="0" w:color="auto"/>
        <w:bottom w:val="none" w:sz="0" w:space="0" w:color="auto"/>
        <w:right w:val="none" w:sz="0" w:space="0" w:color="auto"/>
      </w:divBdr>
    </w:div>
    <w:div w:id="1799444940">
      <w:bodyDiv w:val="1"/>
      <w:marLeft w:val="0"/>
      <w:marRight w:val="0"/>
      <w:marTop w:val="0"/>
      <w:marBottom w:val="0"/>
      <w:divBdr>
        <w:top w:val="none" w:sz="0" w:space="0" w:color="auto"/>
        <w:left w:val="none" w:sz="0" w:space="0" w:color="auto"/>
        <w:bottom w:val="none" w:sz="0" w:space="0" w:color="auto"/>
        <w:right w:val="none" w:sz="0" w:space="0" w:color="auto"/>
      </w:divBdr>
    </w:div>
    <w:div w:id="1802267317">
      <w:bodyDiv w:val="1"/>
      <w:marLeft w:val="0"/>
      <w:marRight w:val="0"/>
      <w:marTop w:val="0"/>
      <w:marBottom w:val="0"/>
      <w:divBdr>
        <w:top w:val="none" w:sz="0" w:space="0" w:color="auto"/>
        <w:left w:val="none" w:sz="0" w:space="0" w:color="auto"/>
        <w:bottom w:val="none" w:sz="0" w:space="0" w:color="auto"/>
        <w:right w:val="none" w:sz="0" w:space="0" w:color="auto"/>
      </w:divBdr>
    </w:div>
    <w:div w:id="1873035218">
      <w:bodyDiv w:val="1"/>
      <w:marLeft w:val="0"/>
      <w:marRight w:val="0"/>
      <w:marTop w:val="0"/>
      <w:marBottom w:val="0"/>
      <w:divBdr>
        <w:top w:val="none" w:sz="0" w:space="0" w:color="auto"/>
        <w:left w:val="none" w:sz="0" w:space="0" w:color="auto"/>
        <w:bottom w:val="none" w:sz="0" w:space="0" w:color="auto"/>
        <w:right w:val="none" w:sz="0" w:space="0" w:color="auto"/>
      </w:divBdr>
    </w:div>
    <w:div w:id="1905988667">
      <w:bodyDiv w:val="1"/>
      <w:marLeft w:val="0"/>
      <w:marRight w:val="0"/>
      <w:marTop w:val="0"/>
      <w:marBottom w:val="0"/>
      <w:divBdr>
        <w:top w:val="none" w:sz="0" w:space="0" w:color="auto"/>
        <w:left w:val="none" w:sz="0" w:space="0" w:color="auto"/>
        <w:bottom w:val="none" w:sz="0" w:space="0" w:color="auto"/>
        <w:right w:val="none" w:sz="0" w:space="0" w:color="auto"/>
      </w:divBdr>
    </w:div>
    <w:div w:id="1923223029">
      <w:bodyDiv w:val="1"/>
      <w:marLeft w:val="0"/>
      <w:marRight w:val="0"/>
      <w:marTop w:val="0"/>
      <w:marBottom w:val="0"/>
      <w:divBdr>
        <w:top w:val="none" w:sz="0" w:space="0" w:color="auto"/>
        <w:left w:val="none" w:sz="0" w:space="0" w:color="auto"/>
        <w:bottom w:val="none" w:sz="0" w:space="0" w:color="auto"/>
        <w:right w:val="none" w:sz="0" w:space="0" w:color="auto"/>
      </w:divBdr>
    </w:div>
    <w:div w:id="1939755728">
      <w:bodyDiv w:val="1"/>
      <w:marLeft w:val="0"/>
      <w:marRight w:val="0"/>
      <w:marTop w:val="0"/>
      <w:marBottom w:val="0"/>
      <w:divBdr>
        <w:top w:val="none" w:sz="0" w:space="0" w:color="auto"/>
        <w:left w:val="none" w:sz="0" w:space="0" w:color="auto"/>
        <w:bottom w:val="none" w:sz="0" w:space="0" w:color="auto"/>
        <w:right w:val="none" w:sz="0" w:space="0" w:color="auto"/>
      </w:divBdr>
    </w:div>
    <w:div w:id="1946844711">
      <w:bodyDiv w:val="1"/>
      <w:marLeft w:val="0"/>
      <w:marRight w:val="0"/>
      <w:marTop w:val="0"/>
      <w:marBottom w:val="0"/>
      <w:divBdr>
        <w:top w:val="none" w:sz="0" w:space="0" w:color="auto"/>
        <w:left w:val="none" w:sz="0" w:space="0" w:color="auto"/>
        <w:bottom w:val="none" w:sz="0" w:space="0" w:color="auto"/>
        <w:right w:val="none" w:sz="0" w:space="0" w:color="auto"/>
      </w:divBdr>
    </w:div>
    <w:div w:id="1960182238">
      <w:bodyDiv w:val="1"/>
      <w:marLeft w:val="0"/>
      <w:marRight w:val="0"/>
      <w:marTop w:val="0"/>
      <w:marBottom w:val="0"/>
      <w:divBdr>
        <w:top w:val="none" w:sz="0" w:space="0" w:color="auto"/>
        <w:left w:val="none" w:sz="0" w:space="0" w:color="auto"/>
        <w:bottom w:val="none" w:sz="0" w:space="0" w:color="auto"/>
        <w:right w:val="none" w:sz="0" w:space="0" w:color="auto"/>
      </w:divBdr>
    </w:div>
    <w:div w:id="1961378159">
      <w:bodyDiv w:val="1"/>
      <w:marLeft w:val="0"/>
      <w:marRight w:val="0"/>
      <w:marTop w:val="0"/>
      <w:marBottom w:val="0"/>
      <w:divBdr>
        <w:top w:val="none" w:sz="0" w:space="0" w:color="auto"/>
        <w:left w:val="none" w:sz="0" w:space="0" w:color="auto"/>
        <w:bottom w:val="none" w:sz="0" w:space="0" w:color="auto"/>
        <w:right w:val="none" w:sz="0" w:space="0" w:color="auto"/>
      </w:divBdr>
    </w:div>
    <w:div w:id="1964578609">
      <w:bodyDiv w:val="1"/>
      <w:marLeft w:val="0"/>
      <w:marRight w:val="0"/>
      <w:marTop w:val="0"/>
      <w:marBottom w:val="0"/>
      <w:divBdr>
        <w:top w:val="none" w:sz="0" w:space="0" w:color="auto"/>
        <w:left w:val="none" w:sz="0" w:space="0" w:color="auto"/>
        <w:bottom w:val="none" w:sz="0" w:space="0" w:color="auto"/>
        <w:right w:val="none" w:sz="0" w:space="0" w:color="auto"/>
      </w:divBdr>
    </w:div>
    <w:div w:id="1969433158">
      <w:bodyDiv w:val="1"/>
      <w:marLeft w:val="0"/>
      <w:marRight w:val="0"/>
      <w:marTop w:val="0"/>
      <w:marBottom w:val="0"/>
      <w:divBdr>
        <w:top w:val="none" w:sz="0" w:space="0" w:color="auto"/>
        <w:left w:val="none" w:sz="0" w:space="0" w:color="auto"/>
        <w:bottom w:val="none" w:sz="0" w:space="0" w:color="auto"/>
        <w:right w:val="none" w:sz="0" w:space="0" w:color="auto"/>
      </w:divBdr>
    </w:div>
    <w:div w:id="1997416509">
      <w:bodyDiv w:val="1"/>
      <w:marLeft w:val="0"/>
      <w:marRight w:val="0"/>
      <w:marTop w:val="0"/>
      <w:marBottom w:val="0"/>
      <w:divBdr>
        <w:top w:val="none" w:sz="0" w:space="0" w:color="auto"/>
        <w:left w:val="none" w:sz="0" w:space="0" w:color="auto"/>
        <w:bottom w:val="none" w:sz="0" w:space="0" w:color="auto"/>
        <w:right w:val="none" w:sz="0" w:space="0" w:color="auto"/>
      </w:divBdr>
    </w:div>
    <w:div w:id="2051683353">
      <w:bodyDiv w:val="1"/>
      <w:marLeft w:val="0"/>
      <w:marRight w:val="0"/>
      <w:marTop w:val="0"/>
      <w:marBottom w:val="0"/>
      <w:divBdr>
        <w:top w:val="none" w:sz="0" w:space="0" w:color="auto"/>
        <w:left w:val="none" w:sz="0" w:space="0" w:color="auto"/>
        <w:bottom w:val="none" w:sz="0" w:space="0" w:color="auto"/>
        <w:right w:val="none" w:sz="0" w:space="0" w:color="auto"/>
      </w:divBdr>
    </w:div>
    <w:div w:id="2058308806">
      <w:bodyDiv w:val="1"/>
      <w:marLeft w:val="0"/>
      <w:marRight w:val="0"/>
      <w:marTop w:val="0"/>
      <w:marBottom w:val="0"/>
      <w:divBdr>
        <w:top w:val="none" w:sz="0" w:space="0" w:color="auto"/>
        <w:left w:val="none" w:sz="0" w:space="0" w:color="auto"/>
        <w:bottom w:val="none" w:sz="0" w:space="0" w:color="auto"/>
        <w:right w:val="none" w:sz="0" w:space="0" w:color="auto"/>
      </w:divBdr>
    </w:div>
    <w:div w:id="2065330732">
      <w:bodyDiv w:val="1"/>
      <w:marLeft w:val="0"/>
      <w:marRight w:val="0"/>
      <w:marTop w:val="0"/>
      <w:marBottom w:val="0"/>
      <w:divBdr>
        <w:top w:val="none" w:sz="0" w:space="0" w:color="auto"/>
        <w:left w:val="none" w:sz="0" w:space="0" w:color="auto"/>
        <w:bottom w:val="none" w:sz="0" w:space="0" w:color="auto"/>
        <w:right w:val="none" w:sz="0" w:space="0" w:color="auto"/>
      </w:divBdr>
    </w:div>
    <w:div w:id="2072657318">
      <w:bodyDiv w:val="1"/>
      <w:marLeft w:val="0"/>
      <w:marRight w:val="0"/>
      <w:marTop w:val="0"/>
      <w:marBottom w:val="0"/>
      <w:divBdr>
        <w:top w:val="none" w:sz="0" w:space="0" w:color="auto"/>
        <w:left w:val="none" w:sz="0" w:space="0" w:color="auto"/>
        <w:bottom w:val="none" w:sz="0" w:space="0" w:color="auto"/>
        <w:right w:val="none" w:sz="0" w:space="0" w:color="auto"/>
      </w:divBdr>
    </w:div>
    <w:div w:id="2076664067">
      <w:bodyDiv w:val="1"/>
      <w:marLeft w:val="0"/>
      <w:marRight w:val="0"/>
      <w:marTop w:val="0"/>
      <w:marBottom w:val="0"/>
      <w:divBdr>
        <w:top w:val="none" w:sz="0" w:space="0" w:color="auto"/>
        <w:left w:val="none" w:sz="0" w:space="0" w:color="auto"/>
        <w:bottom w:val="none" w:sz="0" w:space="0" w:color="auto"/>
        <w:right w:val="none" w:sz="0" w:space="0" w:color="auto"/>
      </w:divBdr>
    </w:div>
    <w:div w:id="2076931729">
      <w:bodyDiv w:val="1"/>
      <w:marLeft w:val="0"/>
      <w:marRight w:val="0"/>
      <w:marTop w:val="0"/>
      <w:marBottom w:val="0"/>
      <w:divBdr>
        <w:top w:val="none" w:sz="0" w:space="0" w:color="auto"/>
        <w:left w:val="none" w:sz="0" w:space="0" w:color="auto"/>
        <w:bottom w:val="none" w:sz="0" w:space="0" w:color="auto"/>
        <w:right w:val="none" w:sz="0" w:space="0" w:color="auto"/>
      </w:divBdr>
    </w:div>
    <w:div w:id="2076974160">
      <w:bodyDiv w:val="1"/>
      <w:marLeft w:val="0"/>
      <w:marRight w:val="0"/>
      <w:marTop w:val="0"/>
      <w:marBottom w:val="0"/>
      <w:divBdr>
        <w:top w:val="none" w:sz="0" w:space="0" w:color="auto"/>
        <w:left w:val="none" w:sz="0" w:space="0" w:color="auto"/>
        <w:bottom w:val="none" w:sz="0" w:space="0" w:color="auto"/>
        <w:right w:val="none" w:sz="0" w:space="0" w:color="auto"/>
      </w:divBdr>
    </w:div>
    <w:div w:id="2081361607">
      <w:bodyDiv w:val="1"/>
      <w:marLeft w:val="0"/>
      <w:marRight w:val="0"/>
      <w:marTop w:val="0"/>
      <w:marBottom w:val="0"/>
      <w:divBdr>
        <w:top w:val="none" w:sz="0" w:space="0" w:color="auto"/>
        <w:left w:val="none" w:sz="0" w:space="0" w:color="auto"/>
        <w:bottom w:val="none" w:sz="0" w:space="0" w:color="auto"/>
        <w:right w:val="none" w:sz="0" w:space="0" w:color="auto"/>
      </w:divBdr>
    </w:div>
    <w:div w:id="2099597020">
      <w:bodyDiv w:val="1"/>
      <w:marLeft w:val="0"/>
      <w:marRight w:val="0"/>
      <w:marTop w:val="0"/>
      <w:marBottom w:val="0"/>
      <w:divBdr>
        <w:top w:val="none" w:sz="0" w:space="0" w:color="auto"/>
        <w:left w:val="none" w:sz="0" w:space="0" w:color="auto"/>
        <w:bottom w:val="none" w:sz="0" w:space="0" w:color="auto"/>
        <w:right w:val="none" w:sz="0" w:space="0" w:color="auto"/>
      </w:divBdr>
    </w:div>
    <w:div w:id="2113088148">
      <w:bodyDiv w:val="1"/>
      <w:marLeft w:val="0"/>
      <w:marRight w:val="0"/>
      <w:marTop w:val="0"/>
      <w:marBottom w:val="0"/>
      <w:divBdr>
        <w:top w:val="none" w:sz="0" w:space="0" w:color="auto"/>
        <w:left w:val="none" w:sz="0" w:space="0" w:color="auto"/>
        <w:bottom w:val="none" w:sz="0" w:space="0" w:color="auto"/>
        <w:right w:val="none" w:sz="0" w:space="0" w:color="auto"/>
      </w:divBdr>
    </w:div>
    <w:div w:id="2115785684">
      <w:bodyDiv w:val="1"/>
      <w:marLeft w:val="0"/>
      <w:marRight w:val="0"/>
      <w:marTop w:val="0"/>
      <w:marBottom w:val="0"/>
      <w:divBdr>
        <w:top w:val="none" w:sz="0" w:space="0" w:color="auto"/>
        <w:left w:val="none" w:sz="0" w:space="0" w:color="auto"/>
        <w:bottom w:val="none" w:sz="0" w:space="0" w:color="auto"/>
        <w:right w:val="none" w:sz="0" w:space="0" w:color="auto"/>
      </w:divBdr>
    </w:div>
    <w:div w:id="2117408753">
      <w:bodyDiv w:val="1"/>
      <w:marLeft w:val="0"/>
      <w:marRight w:val="0"/>
      <w:marTop w:val="0"/>
      <w:marBottom w:val="0"/>
      <w:divBdr>
        <w:top w:val="none" w:sz="0" w:space="0" w:color="auto"/>
        <w:left w:val="none" w:sz="0" w:space="0" w:color="auto"/>
        <w:bottom w:val="none" w:sz="0" w:space="0" w:color="auto"/>
        <w:right w:val="none" w:sz="0" w:space="0" w:color="auto"/>
      </w:divBdr>
    </w:div>
    <w:div w:id="2123186241">
      <w:bodyDiv w:val="1"/>
      <w:marLeft w:val="0"/>
      <w:marRight w:val="0"/>
      <w:marTop w:val="0"/>
      <w:marBottom w:val="0"/>
      <w:divBdr>
        <w:top w:val="none" w:sz="0" w:space="0" w:color="auto"/>
        <w:left w:val="none" w:sz="0" w:space="0" w:color="auto"/>
        <w:bottom w:val="none" w:sz="0" w:space="0" w:color="auto"/>
        <w:right w:val="none" w:sz="0" w:space="0" w:color="auto"/>
      </w:divBdr>
    </w:div>
    <w:div w:id="21324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612FE1A1D434CB6DD31154A25F6F3" ma:contentTypeVersion="10" ma:contentTypeDescription="Create a new document." ma:contentTypeScope="" ma:versionID="fa2648fb18392030cfc1e5f32e763933">
  <xsd:schema xmlns:xsd="http://www.w3.org/2001/XMLSchema" xmlns:xs="http://www.w3.org/2001/XMLSchema" xmlns:p="http://schemas.microsoft.com/office/2006/metadata/properties" xmlns:ns2="21f2c46d-16dd-415b-a091-60b7d2e692ed" xmlns:ns3="64bfd8ab-9492-4347-86d3-4b57cb1274ca" targetNamespace="http://schemas.microsoft.com/office/2006/metadata/properties" ma:root="true" ma:fieldsID="38d77cc859c26d02344b1f74f45abbe3" ns2:_="" ns3:_="">
    <xsd:import namespace="21f2c46d-16dd-415b-a091-60b7d2e692ed"/>
    <xsd:import namespace="64bfd8ab-9492-4347-86d3-4b57cb127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2c46d-16dd-415b-a091-60b7d2e6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fd8ab-9492-4347-86d3-4b57cb127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32993-FCBB-4931-A944-C738323B5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2c46d-16dd-415b-a091-60b7d2e692ed"/>
    <ds:schemaRef ds:uri="64bfd8ab-9492-4347-86d3-4b57cb12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320A6-5C9C-4EF2-A040-BAA6595EB17F}">
  <ds:schemaRefs>
    <ds:schemaRef ds:uri="http://schemas.openxmlformats.org/officeDocument/2006/bibliography"/>
  </ds:schemaRefs>
</ds:datastoreItem>
</file>

<file path=customXml/itemProps3.xml><?xml version="1.0" encoding="utf-8"?>
<ds:datastoreItem xmlns:ds="http://schemas.openxmlformats.org/officeDocument/2006/customXml" ds:itemID="{0F7B5654-42D0-44F6-9E7F-9C05C39CB796}">
  <ds:schemaRefs>
    <ds:schemaRef ds:uri="http://schemas.microsoft.com/sharepoint/v3/contenttype/forms"/>
  </ds:schemaRefs>
</ds:datastoreItem>
</file>

<file path=customXml/itemProps4.xml><?xml version="1.0" encoding="utf-8"?>
<ds:datastoreItem xmlns:ds="http://schemas.openxmlformats.org/officeDocument/2006/customXml" ds:itemID="{F8DC6866-F0BD-4704-AA10-5846D078E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20</cp:revision>
  <dcterms:created xsi:type="dcterms:W3CDTF">2021-06-15T20:21:00Z</dcterms:created>
  <dcterms:modified xsi:type="dcterms:W3CDTF">2021-06-21T15:04:00Z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0x010100D01612FE1A1D434CB6DD31154A25F6F3</vt:lpwstr>
  </property>
</Properties>
</file>